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853" w:rsidRDefault="00E8241B" w:rsidP="00126853">
      <w:pPr>
        <w:spacing w:line="360" w:lineRule="auto"/>
        <w:jc w:val="both"/>
        <w:rPr>
          <w:rFonts w:ascii="Arial" w:eastAsiaTheme="minorHAnsi" w:hAnsi="Arial" w:cs="Arial"/>
          <w:sz w:val="24"/>
          <w:szCs w:val="24"/>
          <w:lang w:eastAsia="en-US"/>
        </w:rPr>
      </w:pPr>
      <w:r w:rsidRPr="00126853">
        <w:rPr>
          <w:rFonts w:ascii="Arial" w:eastAsiaTheme="minorHAnsi" w:hAnsi="Arial" w:cs="Arial"/>
          <w:sz w:val="24"/>
          <w:szCs w:val="24"/>
          <w:lang w:eastAsia="en-US"/>
        </w:rPr>
        <w:tab/>
        <w:t xml:space="preserve">                 </w:t>
      </w:r>
    </w:p>
    <w:p w:rsidR="00126853" w:rsidRDefault="00126853" w:rsidP="00126853">
      <w:pPr>
        <w:spacing w:line="360" w:lineRule="auto"/>
        <w:jc w:val="both"/>
        <w:rPr>
          <w:rFonts w:ascii="Arial" w:eastAsiaTheme="minorHAnsi" w:hAnsi="Arial" w:cs="Arial"/>
          <w:sz w:val="24"/>
          <w:szCs w:val="24"/>
          <w:lang w:eastAsia="en-US"/>
        </w:rPr>
      </w:pPr>
      <w:r w:rsidRPr="00126853">
        <w:rPr>
          <w:rFonts w:ascii="Arial" w:eastAsiaTheme="minorHAnsi" w:hAnsi="Arial" w:cs="Arial"/>
          <w:b/>
          <w:sz w:val="24"/>
          <w:szCs w:val="24"/>
          <w:lang w:eastAsia="en-US"/>
        </w:rPr>
        <w:t xml:space="preserve">Se acompaña información relevante sobre el </w:t>
      </w:r>
      <w:r w:rsidRPr="00126853">
        <w:rPr>
          <w:rFonts w:ascii="Arial" w:eastAsiaTheme="minorHAnsi" w:hAnsi="Arial" w:cs="Arial"/>
          <w:b/>
          <w:i/>
          <w:sz w:val="24"/>
          <w:szCs w:val="24"/>
          <w:lang w:eastAsia="en-US"/>
        </w:rPr>
        <w:t>Real Decreto-ley 13/2020, de 7 de abril, por el que se adoptan determinadas medidas urgentes en materia de empleo agrario,</w:t>
      </w:r>
      <w:r w:rsidRPr="00126853">
        <w:rPr>
          <w:rFonts w:ascii="Arial" w:eastAsiaTheme="minorHAnsi" w:hAnsi="Arial" w:cs="Arial"/>
          <w:b/>
          <w:sz w:val="24"/>
          <w:szCs w:val="24"/>
          <w:lang w:eastAsia="en-US"/>
        </w:rPr>
        <w:t xml:space="preserve"> publicado hoy en el Boletín Oficial del Estado</w:t>
      </w:r>
      <w:r w:rsidRPr="00126853">
        <w:rPr>
          <w:rFonts w:ascii="Arial" w:eastAsiaTheme="minorHAnsi" w:hAnsi="Arial" w:cs="Arial"/>
          <w:sz w:val="24"/>
          <w:szCs w:val="24"/>
          <w:lang w:eastAsia="en-US"/>
        </w:rPr>
        <w:t xml:space="preserve">. </w:t>
      </w:r>
    </w:p>
    <w:p w:rsidR="00126853" w:rsidRPr="00126853" w:rsidRDefault="00126853" w:rsidP="00126853">
      <w:pPr>
        <w:spacing w:line="360" w:lineRule="auto"/>
        <w:jc w:val="both"/>
        <w:rPr>
          <w:rFonts w:ascii="Arial" w:eastAsiaTheme="minorHAnsi" w:hAnsi="Arial" w:cs="Arial"/>
          <w:sz w:val="24"/>
          <w:szCs w:val="24"/>
          <w:lang w:eastAsia="en-US"/>
        </w:rPr>
      </w:pPr>
    </w:p>
    <w:p w:rsidR="00126853" w:rsidRPr="00126853" w:rsidRDefault="00126853" w:rsidP="00126853">
      <w:pPr>
        <w:spacing w:after="200" w:line="360" w:lineRule="auto"/>
        <w:jc w:val="both"/>
        <w:rPr>
          <w:rFonts w:ascii="Arial" w:eastAsiaTheme="minorHAnsi" w:hAnsi="Arial" w:cs="Arial"/>
          <w:sz w:val="24"/>
          <w:szCs w:val="24"/>
          <w:lang w:eastAsia="en-US"/>
        </w:rPr>
      </w:pPr>
      <w:r w:rsidRPr="00126853">
        <w:rPr>
          <w:rFonts w:ascii="Arial" w:eastAsiaTheme="minorHAnsi" w:hAnsi="Arial" w:cs="Arial"/>
          <w:sz w:val="24"/>
          <w:szCs w:val="24"/>
          <w:lang w:eastAsia="en-US"/>
        </w:rPr>
        <w:t xml:space="preserve">Lo que interesa de este Real Decreto-ley al ámbito de competencias del Instituto Social de la Marina son las Disposiciones adicionales tercera y cuarta y las disposiciones finales primera y </w:t>
      </w:r>
      <w:proofErr w:type="gramStart"/>
      <w:r w:rsidRPr="00126853">
        <w:rPr>
          <w:rFonts w:ascii="Arial" w:eastAsiaTheme="minorHAnsi" w:hAnsi="Arial" w:cs="Arial"/>
          <w:sz w:val="24"/>
          <w:szCs w:val="24"/>
          <w:lang w:eastAsia="en-US"/>
        </w:rPr>
        <w:t>segunda</w:t>
      </w:r>
      <w:proofErr w:type="gramEnd"/>
      <w:r w:rsidRPr="00126853">
        <w:rPr>
          <w:rFonts w:ascii="Arial" w:eastAsiaTheme="minorHAnsi" w:hAnsi="Arial" w:cs="Arial"/>
          <w:sz w:val="24"/>
          <w:szCs w:val="24"/>
          <w:lang w:eastAsia="en-US"/>
        </w:rPr>
        <w:t>.</w:t>
      </w:r>
    </w:p>
    <w:p w:rsidR="00126853" w:rsidRPr="00126853" w:rsidRDefault="00126853" w:rsidP="00126853">
      <w:pPr>
        <w:spacing w:after="200" w:line="360" w:lineRule="auto"/>
        <w:jc w:val="both"/>
        <w:rPr>
          <w:rFonts w:ascii="Arial" w:eastAsiaTheme="minorHAnsi" w:hAnsi="Arial" w:cs="Arial"/>
          <w:b/>
          <w:sz w:val="24"/>
          <w:szCs w:val="24"/>
          <w:u w:val="single"/>
          <w:lang w:eastAsia="en-US"/>
        </w:rPr>
      </w:pPr>
      <w:r w:rsidRPr="00126853">
        <w:rPr>
          <w:rFonts w:ascii="Arial" w:eastAsiaTheme="minorHAnsi" w:hAnsi="Arial" w:cs="Arial"/>
          <w:b/>
          <w:sz w:val="24"/>
          <w:szCs w:val="24"/>
          <w:u w:val="single"/>
          <w:lang w:eastAsia="en-US"/>
        </w:rPr>
        <w:t>Disposición adicional tercera.</w:t>
      </w:r>
    </w:p>
    <w:p w:rsidR="00126853" w:rsidRPr="00126853" w:rsidRDefault="00126853" w:rsidP="00126853">
      <w:pPr>
        <w:spacing w:after="200" w:line="360" w:lineRule="auto"/>
        <w:jc w:val="both"/>
        <w:rPr>
          <w:rFonts w:ascii="Arial" w:eastAsiaTheme="minorHAnsi" w:hAnsi="Arial" w:cs="Arial"/>
          <w:iCs/>
          <w:sz w:val="24"/>
          <w:szCs w:val="24"/>
          <w:lang w:eastAsia="en-US"/>
        </w:rPr>
      </w:pPr>
      <w:r w:rsidRPr="00126853">
        <w:rPr>
          <w:rFonts w:ascii="Arial" w:eastAsiaTheme="minorHAnsi" w:hAnsi="Arial" w:cs="Arial"/>
          <w:sz w:val="24"/>
          <w:szCs w:val="24"/>
          <w:lang w:eastAsia="en-US"/>
        </w:rPr>
        <w:t xml:space="preserve">Regula medidas de simplificación para la tramitación </w:t>
      </w:r>
      <w:r w:rsidRPr="00126853">
        <w:rPr>
          <w:rFonts w:ascii="Arial" w:eastAsiaTheme="minorHAnsi" w:hAnsi="Arial" w:cs="Arial"/>
          <w:iCs/>
          <w:sz w:val="24"/>
          <w:szCs w:val="24"/>
          <w:lang w:eastAsia="en-US"/>
        </w:rPr>
        <w:t>de los procedimientos de las entidades gestoras de la Seguridad Social como consecuencia de la declaración del estado de alarma.</w:t>
      </w:r>
    </w:p>
    <w:p w:rsidR="00126853" w:rsidRPr="00126853" w:rsidRDefault="00126853" w:rsidP="00126853">
      <w:pPr>
        <w:numPr>
          <w:ilvl w:val="0"/>
          <w:numId w:val="10"/>
        </w:numPr>
        <w:spacing w:after="200" w:line="360" w:lineRule="auto"/>
        <w:contextualSpacing/>
        <w:jc w:val="both"/>
        <w:rPr>
          <w:rFonts w:ascii="Arial" w:eastAsiaTheme="minorHAnsi" w:hAnsi="Arial" w:cs="Arial"/>
          <w:sz w:val="24"/>
          <w:szCs w:val="24"/>
          <w:lang w:eastAsia="en-US"/>
        </w:rPr>
      </w:pPr>
      <w:r w:rsidRPr="00126853">
        <w:rPr>
          <w:rFonts w:ascii="Arial" w:eastAsiaTheme="minorHAnsi" w:hAnsi="Arial" w:cs="Arial"/>
          <w:sz w:val="24"/>
          <w:szCs w:val="24"/>
          <w:lang w:eastAsia="en-US"/>
        </w:rPr>
        <w:t>En el supuesto de que la persona interesada careciera de certificado electrónico o clave permanente, el canal de comunicación a través del cual podrá ejercer sus derechos, presentar documentos o realizar cualesquiera trámites o solicitar servicios, se encuentra ubicado en la Sede electrónica de la Seguridad Social.</w:t>
      </w:r>
    </w:p>
    <w:p w:rsidR="00126853" w:rsidRPr="00126853" w:rsidRDefault="00126853" w:rsidP="00126853">
      <w:pPr>
        <w:numPr>
          <w:ilvl w:val="0"/>
          <w:numId w:val="10"/>
        </w:numPr>
        <w:spacing w:after="200" w:line="360" w:lineRule="auto"/>
        <w:contextualSpacing/>
        <w:jc w:val="both"/>
        <w:rPr>
          <w:rFonts w:ascii="Arial" w:eastAsiaTheme="minorHAnsi" w:hAnsi="Arial" w:cs="Arial"/>
          <w:sz w:val="24"/>
          <w:szCs w:val="24"/>
          <w:lang w:eastAsia="en-US"/>
        </w:rPr>
      </w:pPr>
      <w:r w:rsidRPr="00126853">
        <w:rPr>
          <w:rFonts w:ascii="Arial" w:eastAsiaTheme="minorHAnsi" w:hAnsi="Arial" w:cs="Arial"/>
          <w:color w:val="000000"/>
          <w:sz w:val="24"/>
          <w:szCs w:val="24"/>
          <w:lang w:eastAsia="en-US"/>
        </w:rPr>
        <w:t>En el supuesto de que la persona interesada carezca de certificado electrónico o clave permanente, provisionalmente se admitirá la identidad declarada por el interesado, sin perjuicio de las comprobaciones que pueda hacer la entidad gestora, a través de los medios ya establecidos (SVDIR y SECOPA).</w:t>
      </w:r>
    </w:p>
    <w:p w:rsidR="00126853" w:rsidRPr="00126853" w:rsidRDefault="00126853" w:rsidP="00126853">
      <w:pPr>
        <w:numPr>
          <w:ilvl w:val="0"/>
          <w:numId w:val="10"/>
        </w:numPr>
        <w:spacing w:after="200" w:line="360" w:lineRule="auto"/>
        <w:contextualSpacing/>
        <w:jc w:val="both"/>
        <w:rPr>
          <w:rFonts w:ascii="Arial" w:eastAsiaTheme="minorHAnsi" w:hAnsi="Arial" w:cs="Arial"/>
          <w:sz w:val="24"/>
          <w:szCs w:val="24"/>
          <w:lang w:eastAsia="en-US"/>
        </w:rPr>
      </w:pPr>
      <w:r w:rsidRPr="00126853">
        <w:rPr>
          <w:rFonts w:ascii="Arial" w:eastAsiaTheme="minorHAnsi" w:hAnsi="Arial" w:cs="Arial"/>
          <w:color w:val="000000"/>
          <w:sz w:val="24"/>
          <w:szCs w:val="24"/>
          <w:lang w:eastAsia="en-US"/>
        </w:rPr>
        <w:t>En el supuesto de que el interesado carezca de firma electrónica, deberá dejar constancia expresa de su voluntad o consentimiento a la tramitación de su expediente.</w:t>
      </w:r>
    </w:p>
    <w:p w:rsidR="00126853" w:rsidRPr="00126853" w:rsidRDefault="00126853" w:rsidP="00126853">
      <w:pPr>
        <w:numPr>
          <w:ilvl w:val="0"/>
          <w:numId w:val="10"/>
        </w:numPr>
        <w:spacing w:after="200" w:line="360" w:lineRule="auto"/>
        <w:contextualSpacing/>
        <w:jc w:val="both"/>
        <w:rPr>
          <w:rFonts w:ascii="Arial" w:eastAsiaTheme="minorHAnsi" w:hAnsi="Arial" w:cs="Arial"/>
          <w:sz w:val="24"/>
          <w:szCs w:val="24"/>
          <w:lang w:eastAsia="en-US"/>
        </w:rPr>
      </w:pPr>
      <w:r w:rsidRPr="00126853">
        <w:rPr>
          <w:rFonts w:ascii="Arial" w:eastAsiaTheme="minorHAnsi" w:hAnsi="Arial" w:cs="Arial"/>
          <w:color w:val="000000"/>
          <w:sz w:val="24"/>
          <w:szCs w:val="24"/>
          <w:lang w:eastAsia="en-US"/>
        </w:rPr>
        <w:t>En aquellos supuestos en los que, debido al cierre de oficinas públicas, el interesado no pueda presentar el documento preceptivo u observar el procedimiento habitual establecido al efecto, deberá aportar documentos o pruebas alternativos que, en su caso, obren en su poder, de la concurrencia de los requisitos o condiciones exigidos en el procedimiento para el reconocimiento o revisión del derecho, sin perjuicio de la obligación de presentar los documentos preceptivos una vez que deje de estar vigente el estado de alarma.</w:t>
      </w:r>
    </w:p>
    <w:p w:rsidR="00126853" w:rsidRPr="00126853" w:rsidRDefault="00126853" w:rsidP="00126853">
      <w:pPr>
        <w:numPr>
          <w:ilvl w:val="0"/>
          <w:numId w:val="10"/>
        </w:numPr>
        <w:spacing w:after="200" w:line="360" w:lineRule="auto"/>
        <w:contextualSpacing/>
        <w:jc w:val="both"/>
        <w:rPr>
          <w:rFonts w:ascii="Arial" w:eastAsiaTheme="minorHAnsi" w:hAnsi="Arial" w:cs="Arial"/>
          <w:sz w:val="24"/>
          <w:szCs w:val="24"/>
          <w:lang w:eastAsia="en-US"/>
        </w:rPr>
      </w:pPr>
      <w:r w:rsidRPr="00126853">
        <w:rPr>
          <w:rFonts w:ascii="Arial" w:eastAsiaTheme="minorHAnsi" w:hAnsi="Arial" w:cs="Arial"/>
          <w:color w:val="000000"/>
          <w:sz w:val="24"/>
          <w:szCs w:val="24"/>
          <w:lang w:eastAsia="en-US"/>
        </w:rPr>
        <w:lastRenderedPageBreak/>
        <w:t>Si el interesado no tuviera o no pudiera obtener documentos alternativos que acrediten su derecho, se podrá admitir una declaración responsable, según lo previsto en el artículo 69 de la Ley 39/2015, de 1 de octubre, sobre los datos o documentos que pretenda hacer valer, sin perjuicio de la obligación de presentar con posterioridad los documentos acreditativos de los hechos o datos alegados y la revisión de las prestaciones reconocidas con carácter provisional.</w:t>
      </w:r>
    </w:p>
    <w:p w:rsidR="00126853" w:rsidRPr="00126853" w:rsidRDefault="00126853" w:rsidP="00126853">
      <w:pPr>
        <w:numPr>
          <w:ilvl w:val="0"/>
          <w:numId w:val="10"/>
        </w:numPr>
        <w:autoSpaceDE w:val="0"/>
        <w:autoSpaceDN w:val="0"/>
        <w:adjustRightInd w:val="0"/>
        <w:spacing w:after="200" w:line="360" w:lineRule="auto"/>
        <w:jc w:val="both"/>
        <w:rPr>
          <w:rFonts w:ascii="Arial" w:eastAsiaTheme="minorHAnsi" w:hAnsi="Arial" w:cs="Arial"/>
          <w:color w:val="000000"/>
          <w:sz w:val="24"/>
          <w:szCs w:val="24"/>
          <w:lang w:eastAsia="en-US"/>
        </w:rPr>
      </w:pPr>
      <w:r w:rsidRPr="00126853">
        <w:rPr>
          <w:rFonts w:ascii="Arial" w:eastAsiaTheme="minorHAnsi" w:hAnsi="Arial" w:cs="Arial"/>
          <w:color w:val="000000"/>
          <w:sz w:val="24"/>
          <w:szCs w:val="24"/>
          <w:lang w:eastAsia="en-US"/>
        </w:rPr>
        <w:t>De acuerdo con la solicitud presentada y los documentos en su caso aportados, la entidad gestora efectuará las comprobaciones correspondientes, y dictará la resolución provisional que sea procedente, estimando o desestimando el derecho.</w:t>
      </w:r>
    </w:p>
    <w:p w:rsidR="00126853" w:rsidRDefault="00126853" w:rsidP="00126853">
      <w:pPr>
        <w:spacing w:after="200" w:line="360" w:lineRule="auto"/>
        <w:ind w:left="720"/>
        <w:contextualSpacing/>
        <w:jc w:val="both"/>
        <w:rPr>
          <w:rFonts w:ascii="Arial" w:eastAsiaTheme="minorHAnsi" w:hAnsi="Arial" w:cs="Arial"/>
          <w:color w:val="000000"/>
          <w:sz w:val="24"/>
          <w:szCs w:val="24"/>
          <w:lang w:eastAsia="en-US"/>
        </w:rPr>
      </w:pPr>
      <w:r w:rsidRPr="00126853">
        <w:rPr>
          <w:rFonts w:ascii="Arial" w:eastAsiaTheme="minorHAnsi" w:hAnsi="Arial" w:cs="Arial"/>
          <w:color w:val="000000"/>
          <w:sz w:val="24"/>
          <w:szCs w:val="24"/>
          <w:lang w:eastAsia="en-US"/>
        </w:rPr>
        <w:t>Las entidades gestoras de la Seguridad Social revisarán todas las resoluciones provisionales de reconocimiento o revisión de prestaciones adoptadas bajo este régimen transitorio. En su caso, se efectuará el abono de aquellas cantidades que resulten procedentes tras la oportuna revisión. En el supuesto de que tras estas actuaciones se desprenda que el interesado no tiene derecho a la prestación, se iniciarán las actuaciones necesarias en orden a reclamar las cantidades indebidamente percibidas.</w:t>
      </w:r>
    </w:p>
    <w:p w:rsidR="00126853" w:rsidRPr="00126853" w:rsidRDefault="00126853" w:rsidP="00126853">
      <w:pPr>
        <w:spacing w:after="200" w:line="360" w:lineRule="auto"/>
        <w:ind w:left="720"/>
        <w:contextualSpacing/>
        <w:jc w:val="both"/>
        <w:rPr>
          <w:rFonts w:ascii="Arial" w:eastAsiaTheme="minorHAnsi" w:hAnsi="Arial" w:cs="Arial"/>
          <w:color w:val="000000"/>
          <w:sz w:val="24"/>
          <w:szCs w:val="24"/>
          <w:lang w:eastAsia="en-US"/>
        </w:rPr>
      </w:pPr>
    </w:p>
    <w:p w:rsidR="00126853" w:rsidRPr="00126853" w:rsidRDefault="00126853" w:rsidP="00126853">
      <w:pPr>
        <w:spacing w:after="200" w:line="360" w:lineRule="auto"/>
        <w:jc w:val="both"/>
        <w:rPr>
          <w:rFonts w:ascii="Arial" w:eastAsiaTheme="minorHAnsi" w:hAnsi="Arial" w:cs="Arial"/>
          <w:b/>
          <w:sz w:val="24"/>
          <w:szCs w:val="24"/>
          <w:u w:val="single"/>
          <w:lang w:eastAsia="en-US"/>
        </w:rPr>
      </w:pPr>
      <w:r w:rsidRPr="00126853">
        <w:rPr>
          <w:rFonts w:ascii="Arial" w:eastAsiaTheme="minorHAnsi" w:hAnsi="Arial" w:cs="Arial"/>
          <w:b/>
          <w:sz w:val="24"/>
          <w:szCs w:val="24"/>
          <w:u w:val="single"/>
          <w:lang w:eastAsia="en-US"/>
        </w:rPr>
        <w:t>Disposición adicional cuarta.</w:t>
      </w:r>
    </w:p>
    <w:p w:rsidR="00126853" w:rsidRPr="00126853" w:rsidRDefault="00126853" w:rsidP="00126853">
      <w:pPr>
        <w:spacing w:after="200" w:line="360" w:lineRule="auto"/>
        <w:jc w:val="both"/>
        <w:rPr>
          <w:rFonts w:ascii="Arial" w:eastAsiaTheme="minorHAnsi" w:hAnsi="Arial" w:cs="Arial"/>
          <w:sz w:val="24"/>
          <w:szCs w:val="24"/>
          <w:lang w:eastAsia="en-US"/>
        </w:rPr>
      </w:pPr>
      <w:r w:rsidRPr="00126853">
        <w:rPr>
          <w:rFonts w:ascii="Arial" w:eastAsiaTheme="minorHAnsi" w:hAnsi="Arial" w:cs="Arial"/>
          <w:sz w:val="24"/>
          <w:szCs w:val="24"/>
          <w:lang w:eastAsia="en-US"/>
        </w:rPr>
        <w:t>Regula las medidas de simplificación para la tramitación de los procedimientos del Servicio Público de Empleo Estatal y el Instituto Social de la Marina como consecuencia del estado de alarma.</w:t>
      </w:r>
    </w:p>
    <w:p w:rsidR="00126853" w:rsidRPr="00126853" w:rsidRDefault="00126853" w:rsidP="00126853">
      <w:pPr>
        <w:spacing w:after="200" w:line="360" w:lineRule="auto"/>
        <w:jc w:val="both"/>
        <w:rPr>
          <w:rFonts w:ascii="Arial" w:eastAsiaTheme="minorHAnsi" w:hAnsi="Arial" w:cs="Arial"/>
          <w:sz w:val="24"/>
          <w:szCs w:val="24"/>
          <w:lang w:eastAsia="en-US"/>
        </w:rPr>
      </w:pPr>
      <w:r w:rsidRPr="00126853">
        <w:rPr>
          <w:rFonts w:ascii="Arial" w:eastAsiaTheme="minorHAnsi" w:hAnsi="Arial" w:cs="Arial"/>
          <w:sz w:val="24"/>
          <w:szCs w:val="24"/>
          <w:lang w:eastAsia="en-US"/>
        </w:rPr>
        <w:t>En definitiva, vienen a ser similares a las referidas anteriormente pero en relación con las prestaciones de desempleo.</w:t>
      </w:r>
    </w:p>
    <w:p w:rsidR="00126853" w:rsidRPr="00126853" w:rsidRDefault="00126853" w:rsidP="00126853">
      <w:pPr>
        <w:spacing w:after="200" w:line="360" w:lineRule="auto"/>
        <w:jc w:val="both"/>
        <w:rPr>
          <w:rFonts w:ascii="Arial" w:eastAsiaTheme="minorHAnsi" w:hAnsi="Arial" w:cs="Arial"/>
          <w:b/>
          <w:sz w:val="24"/>
          <w:szCs w:val="24"/>
          <w:u w:val="single"/>
          <w:lang w:eastAsia="en-US"/>
        </w:rPr>
      </w:pPr>
      <w:r w:rsidRPr="00126853">
        <w:rPr>
          <w:rFonts w:ascii="Arial" w:eastAsiaTheme="minorHAnsi" w:hAnsi="Arial" w:cs="Arial"/>
          <w:b/>
          <w:sz w:val="24"/>
          <w:szCs w:val="24"/>
          <w:u w:val="single"/>
          <w:lang w:eastAsia="en-US"/>
        </w:rPr>
        <w:t>Disposición final primera.</w:t>
      </w:r>
    </w:p>
    <w:p w:rsidR="00126853" w:rsidRPr="00126853" w:rsidRDefault="00126853" w:rsidP="00126853">
      <w:pPr>
        <w:spacing w:after="200" w:line="360" w:lineRule="auto"/>
        <w:jc w:val="both"/>
        <w:rPr>
          <w:rFonts w:ascii="Arial" w:eastAsiaTheme="minorHAnsi" w:hAnsi="Arial" w:cs="Arial"/>
          <w:sz w:val="24"/>
          <w:szCs w:val="24"/>
          <w:lang w:eastAsia="en-US"/>
        </w:rPr>
      </w:pPr>
      <w:r w:rsidRPr="00126853">
        <w:rPr>
          <w:rFonts w:ascii="Arial" w:eastAsiaTheme="minorHAnsi" w:hAnsi="Arial" w:cs="Arial"/>
          <w:sz w:val="24"/>
          <w:szCs w:val="24"/>
          <w:lang w:eastAsia="en-US"/>
        </w:rPr>
        <w:t>Por medio de esta disposición final se procede a modificar el artículo quinto  del Real Decreto-ley 6/2020, de 10 de marzo, por el que se adoptan determinadas medidas urgentes en el ámbito económico y para la protección de la salud pública.</w:t>
      </w:r>
    </w:p>
    <w:p w:rsidR="00126853" w:rsidRPr="00126853" w:rsidRDefault="00126853" w:rsidP="00126853">
      <w:pPr>
        <w:spacing w:after="200" w:line="360" w:lineRule="auto"/>
        <w:jc w:val="both"/>
        <w:rPr>
          <w:rFonts w:ascii="Arial" w:eastAsiaTheme="minorHAnsi" w:hAnsi="Arial" w:cs="Arial"/>
          <w:iCs/>
          <w:sz w:val="24"/>
          <w:szCs w:val="24"/>
          <w:lang w:eastAsia="en-US"/>
        </w:rPr>
      </w:pPr>
      <w:r w:rsidRPr="00126853">
        <w:rPr>
          <w:rFonts w:ascii="Arial" w:eastAsiaTheme="minorHAnsi" w:hAnsi="Arial" w:cs="Arial"/>
          <w:sz w:val="24"/>
          <w:szCs w:val="24"/>
          <w:lang w:eastAsia="en-US"/>
        </w:rPr>
        <w:lastRenderedPageBreak/>
        <w:t xml:space="preserve">La modificación implica la consideración como situación asimilada a accidente de trabajo </w:t>
      </w:r>
      <w:r w:rsidRPr="00126853">
        <w:rPr>
          <w:rFonts w:ascii="Arial" w:eastAsiaTheme="minorHAnsi" w:hAnsi="Arial" w:cs="Arial"/>
          <w:iCs/>
          <w:sz w:val="24"/>
          <w:szCs w:val="24"/>
          <w:lang w:eastAsia="en-US"/>
        </w:rPr>
        <w:t>los periodos de aislamiento, contagio o restricción en las salidas del municipio donde tengan el domicilio de las personas trabajadoras como consecuencia del virus COVID-19.</w:t>
      </w:r>
    </w:p>
    <w:p w:rsidR="00126853" w:rsidRPr="00126853" w:rsidRDefault="00126853" w:rsidP="00126853">
      <w:pPr>
        <w:spacing w:after="200" w:line="360" w:lineRule="auto"/>
        <w:jc w:val="both"/>
        <w:rPr>
          <w:rFonts w:ascii="Arial" w:eastAsiaTheme="minorHAnsi" w:hAnsi="Arial" w:cs="Arial"/>
          <w:iCs/>
          <w:sz w:val="24"/>
          <w:szCs w:val="24"/>
          <w:lang w:eastAsia="en-US"/>
        </w:rPr>
      </w:pPr>
      <w:r w:rsidRPr="00126853">
        <w:rPr>
          <w:rFonts w:ascii="Arial" w:eastAsiaTheme="minorHAnsi" w:hAnsi="Arial" w:cs="Arial"/>
          <w:color w:val="000000"/>
          <w:sz w:val="24"/>
          <w:szCs w:val="24"/>
          <w:lang w:eastAsia="en-US"/>
        </w:rPr>
        <w:t>Con efectos desde el inicio de la situación de restricción de la salida del municipio donde tengan el domicilio, y mediante el correspondiente parte de baja, se extenderá esta protección a aquellos trabajadores que se vean obligados a desplazarse de localidad para prestar servicios en las actividades no afectadas por el Real Decreto 463/2020, de 14 de marzo, por el que se declara el estado de alarma para la gestión de la situación de crisis sanitaria ocasionada por el COVID-19, siempre que por la autoridad competente se haya acordado restringir la salida de personas del municipio donde dichos trabajadores tengan su domicilio y les haya sido denegada de forma expresa la posibilidad de desplazarse por la autoridad competente, no puedan realizar su trabajo de forma telemática por causas no imputables a la empresa para la que prestan sus servicios o al propio trabajador y no tengan derecho a percibir ninguna otra prestación pública.</w:t>
      </w:r>
    </w:p>
    <w:p w:rsidR="00126853" w:rsidRPr="00126853" w:rsidRDefault="00126853" w:rsidP="00126853">
      <w:pPr>
        <w:spacing w:after="200" w:line="360" w:lineRule="auto"/>
        <w:jc w:val="both"/>
        <w:rPr>
          <w:rFonts w:ascii="Arial" w:eastAsiaTheme="minorHAnsi" w:hAnsi="Arial" w:cs="Arial"/>
          <w:color w:val="000000"/>
          <w:sz w:val="24"/>
          <w:szCs w:val="24"/>
          <w:lang w:eastAsia="en-US"/>
        </w:rPr>
      </w:pPr>
      <w:r w:rsidRPr="00126853">
        <w:rPr>
          <w:rFonts w:ascii="Arial" w:eastAsiaTheme="minorHAnsi" w:hAnsi="Arial" w:cs="Arial"/>
          <w:color w:val="000000"/>
          <w:sz w:val="24"/>
          <w:szCs w:val="24"/>
          <w:lang w:eastAsia="en-US"/>
        </w:rPr>
        <w:t>La acreditación del acuerdo de restricción de la población donde se tiene el domicilio y la denegación de la posibilidad de desplazamiento se realizará mediante certificación expedida por el ayuntamiento del domicilio ante el correspondiente órgano del servicio público de salud. De igual forma, la imposibilidad de realización del trabajo de forma telemática se acreditará mediante una certificación de la empresa o una declaración responsable en el caso de los trabajadores por cuenta propia ante el mismo órgano del servicio público de salud.</w:t>
      </w:r>
    </w:p>
    <w:p w:rsidR="00126853" w:rsidRPr="00126853" w:rsidRDefault="00126853" w:rsidP="00126853">
      <w:pPr>
        <w:spacing w:after="200" w:line="360" w:lineRule="auto"/>
        <w:jc w:val="both"/>
        <w:rPr>
          <w:rFonts w:ascii="Arial" w:eastAsiaTheme="minorHAnsi" w:hAnsi="Arial" w:cs="Arial"/>
          <w:color w:val="000000"/>
          <w:sz w:val="24"/>
          <w:szCs w:val="24"/>
          <w:lang w:eastAsia="en-US"/>
        </w:rPr>
      </w:pPr>
      <w:r w:rsidRPr="00126853">
        <w:rPr>
          <w:rFonts w:ascii="Arial" w:eastAsiaTheme="minorHAnsi" w:hAnsi="Arial" w:cs="Arial"/>
          <w:color w:val="000000"/>
          <w:sz w:val="24"/>
          <w:szCs w:val="24"/>
          <w:lang w:eastAsia="en-US"/>
        </w:rPr>
        <w:t>La duración de esta prestación excepcional vendrá determinada por el parte de baja y la correspondiente alta.</w:t>
      </w:r>
    </w:p>
    <w:p w:rsidR="00126853" w:rsidRPr="00126853" w:rsidRDefault="00126853" w:rsidP="00126853">
      <w:pPr>
        <w:autoSpaceDE w:val="0"/>
        <w:autoSpaceDN w:val="0"/>
        <w:adjustRightInd w:val="0"/>
        <w:spacing w:line="360" w:lineRule="auto"/>
        <w:jc w:val="both"/>
        <w:rPr>
          <w:rFonts w:ascii="Arial" w:eastAsiaTheme="minorHAnsi" w:hAnsi="Arial" w:cs="Arial"/>
          <w:color w:val="000000"/>
          <w:sz w:val="24"/>
          <w:szCs w:val="24"/>
          <w:lang w:eastAsia="en-US"/>
        </w:rPr>
      </w:pPr>
      <w:r w:rsidRPr="00126853">
        <w:rPr>
          <w:rFonts w:ascii="Arial" w:eastAsiaTheme="minorHAnsi" w:hAnsi="Arial" w:cs="Arial"/>
          <w:color w:val="000000"/>
          <w:sz w:val="24"/>
          <w:szCs w:val="24"/>
          <w:lang w:eastAsia="en-US"/>
        </w:rPr>
        <w:t>Podrá causar derecho a esta prestación la persona trabajadora por cuenta propia o ajena que se encuentre en la fecha del hecho causante en situación de alta en cualquiera de los regímenes de Seguridad Social.</w:t>
      </w:r>
    </w:p>
    <w:p w:rsidR="00126853" w:rsidRPr="00126853" w:rsidRDefault="00126853" w:rsidP="00126853">
      <w:pPr>
        <w:autoSpaceDE w:val="0"/>
        <w:autoSpaceDN w:val="0"/>
        <w:adjustRightInd w:val="0"/>
        <w:rPr>
          <w:rFonts w:ascii="Arial" w:eastAsiaTheme="minorHAnsi" w:hAnsi="Arial" w:cs="Arial"/>
          <w:color w:val="000000"/>
          <w:sz w:val="24"/>
          <w:szCs w:val="24"/>
          <w:lang w:eastAsia="en-US"/>
        </w:rPr>
      </w:pPr>
    </w:p>
    <w:p w:rsidR="00126853" w:rsidRPr="00126853" w:rsidRDefault="00126853" w:rsidP="00126853">
      <w:pPr>
        <w:spacing w:after="200" w:line="360" w:lineRule="auto"/>
        <w:jc w:val="both"/>
        <w:rPr>
          <w:rFonts w:ascii="Arial" w:eastAsiaTheme="minorHAnsi" w:hAnsi="Arial" w:cs="Arial"/>
          <w:sz w:val="24"/>
          <w:szCs w:val="24"/>
          <w:lang w:eastAsia="en-US"/>
        </w:rPr>
      </w:pPr>
      <w:r w:rsidRPr="00126853">
        <w:rPr>
          <w:rFonts w:ascii="Arial" w:eastAsiaTheme="minorHAnsi" w:hAnsi="Arial" w:cs="Arial"/>
          <w:color w:val="000000"/>
          <w:sz w:val="24"/>
          <w:szCs w:val="24"/>
          <w:lang w:eastAsia="en-US"/>
        </w:rPr>
        <w:t>La fecha del hecho causante será la fecha en la que se acuerde el aislamiento, restricción o enfermedad del trabajador, sin perjuicio de que el parte de baja se expida con posterioridad a esa fecha.</w:t>
      </w:r>
    </w:p>
    <w:p w:rsidR="00126853" w:rsidRPr="00126853" w:rsidRDefault="00126853" w:rsidP="00126853">
      <w:pPr>
        <w:spacing w:after="200" w:line="360" w:lineRule="auto"/>
        <w:jc w:val="both"/>
        <w:rPr>
          <w:rFonts w:ascii="Arial" w:eastAsiaTheme="minorHAnsi" w:hAnsi="Arial" w:cs="Arial"/>
          <w:b/>
          <w:sz w:val="24"/>
          <w:szCs w:val="24"/>
          <w:u w:val="single"/>
          <w:lang w:eastAsia="en-US"/>
        </w:rPr>
      </w:pPr>
      <w:r w:rsidRPr="00126853">
        <w:rPr>
          <w:rFonts w:ascii="Arial" w:eastAsiaTheme="minorHAnsi" w:hAnsi="Arial" w:cs="Arial"/>
          <w:b/>
          <w:sz w:val="24"/>
          <w:szCs w:val="24"/>
          <w:u w:val="single"/>
          <w:lang w:eastAsia="en-US"/>
        </w:rPr>
        <w:lastRenderedPageBreak/>
        <w:t>Disposición final segunda.</w:t>
      </w:r>
    </w:p>
    <w:p w:rsidR="00126853" w:rsidRDefault="00126853" w:rsidP="00126853">
      <w:pPr>
        <w:spacing w:after="200" w:line="360" w:lineRule="auto"/>
        <w:jc w:val="both"/>
        <w:rPr>
          <w:rFonts w:ascii="Arial" w:eastAsiaTheme="minorHAnsi" w:hAnsi="Arial" w:cs="Arial"/>
          <w:color w:val="000000" w:themeColor="text1"/>
          <w:sz w:val="24"/>
          <w:szCs w:val="24"/>
          <w:lang w:eastAsia="en-US"/>
        </w:rPr>
      </w:pPr>
      <w:r w:rsidRPr="00126853">
        <w:rPr>
          <w:rFonts w:ascii="Arial" w:eastAsiaTheme="minorHAnsi" w:hAnsi="Arial" w:cs="Arial"/>
          <w:color w:val="000000" w:themeColor="text1"/>
          <w:sz w:val="24"/>
          <w:szCs w:val="24"/>
          <w:lang w:eastAsia="en-US"/>
        </w:rPr>
        <w:t>Se modifica el artículo 17 del Real Decreto-ley 8/2020, de 17 de marzo, en relación con la prestación de cese de actividad. Os mandamos instrucciones específicas de estas prestación extraordinaria en las que se incluye ya la redacción dada por el Real Decreto-ley 13/2020</w:t>
      </w:r>
    </w:p>
    <w:p w:rsidR="00126853" w:rsidRDefault="00126853" w:rsidP="00126853">
      <w:pPr>
        <w:spacing w:after="200" w:line="360" w:lineRule="auto"/>
        <w:jc w:val="both"/>
        <w:rPr>
          <w:rFonts w:ascii="Arial" w:eastAsiaTheme="minorHAnsi" w:hAnsi="Arial" w:cs="Arial"/>
          <w:b/>
          <w:sz w:val="24"/>
          <w:szCs w:val="24"/>
          <w:u w:val="single"/>
          <w:lang w:eastAsia="en-US"/>
        </w:rPr>
      </w:pPr>
      <w:r w:rsidRPr="00126853">
        <w:rPr>
          <w:rFonts w:ascii="Arial" w:eastAsiaTheme="minorHAnsi" w:hAnsi="Arial" w:cs="Arial"/>
          <w:b/>
          <w:sz w:val="24"/>
          <w:szCs w:val="24"/>
          <w:u w:val="single"/>
          <w:lang w:eastAsia="en-US"/>
        </w:rPr>
        <w:t>Entrada en vigor.</w:t>
      </w:r>
    </w:p>
    <w:p w:rsidR="00126853" w:rsidRPr="00126853" w:rsidRDefault="00126853" w:rsidP="00126853">
      <w:pPr>
        <w:numPr>
          <w:ilvl w:val="0"/>
          <w:numId w:val="11"/>
        </w:numPr>
        <w:autoSpaceDE w:val="0"/>
        <w:autoSpaceDN w:val="0"/>
        <w:adjustRightInd w:val="0"/>
        <w:spacing w:after="200" w:line="360" w:lineRule="auto"/>
        <w:jc w:val="both"/>
        <w:rPr>
          <w:rFonts w:ascii="Arial" w:eastAsiaTheme="minorHAnsi" w:hAnsi="Arial" w:cs="Arial"/>
          <w:b/>
          <w:color w:val="000000"/>
          <w:sz w:val="24"/>
          <w:szCs w:val="24"/>
          <w:lang w:eastAsia="en-US"/>
        </w:rPr>
      </w:pPr>
      <w:r w:rsidRPr="00126853">
        <w:rPr>
          <w:rFonts w:ascii="Arial" w:eastAsiaTheme="minorHAnsi" w:hAnsi="Arial" w:cs="Arial"/>
          <w:b/>
          <w:color w:val="000000"/>
          <w:sz w:val="24"/>
          <w:szCs w:val="24"/>
          <w:lang w:eastAsia="en-US"/>
        </w:rPr>
        <w:t>El Real decreto-ley entrará en vigor el día siguiente al de su publicación en el Boletín Oficial del Estado y estará vigente hasta el 30 de junio de 2020.</w:t>
      </w:r>
    </w:p>
    <w:p w:rsidR="00126853" w:rsidRPr="00126853" w:rsidRDefault="00126853" w:rsidP="00126853">
      <w:pPr>
        <w:numPr>
          <w:ilvl w:val="0"/>
          <w:numId w:val="11"/>
        </w:numPr>
        <w:autoSpaceDE w:val="0"/>
        <w:autoSpaceDN w:val="0"/>
        <w:adjustRightInd w:val="0"/>
        <w:spacing w:after="200" w:line="360" w:lineRule="auto"/>
        <w:jc w:val="both"/>
        <w:rPr>
          <w:rFonts w:ascii="Arial" w:eastAsiaTheme="minorHAnsi" w:hAnsi="Arial" w:cs="Arial"/>
          <w:color w:val="000000"/>
          <w:sz w:val="24"/>
          <w:szCs w:val="24"/>
          <w:lang w:eastAsia="en-US"/>
        </w:rPr>
      </w:pPr>
      <w:r w:rsidRPr="00126853">
        <w:rPr>
          <w:rFonts w:ascii="Arial" w:eastAsiaTheme="minorHAnsi" w:hAnsi="Arial" w:cs="Arial"/>
          <w:color w:val="000000"/>
          <w:sz w:val="24"/>
          <w:szCs w:val="24"/>
          <w:lang w:eastAsia="en-US"/>
        </w:rPr>
        <w:t xml:space="preserve">No obstante, </w:t>
      </w:r>
      <w:r w:rsidRPr="00126853">
        <w:rPr>
          <w:rFonts w:ascii="Arial" w:eastAsiaTheme="minorHAnsi" w:hAnsi="Arial" w:cs="Arial"/>
          <w:b/>
          <w:color w:val="000000"/>
          <w:sz w:val="24"/>
          <w:szCs w:val="24"/>
          <w:lang w:eastAsia="en-US"/>
        </w:rPr>
        <w:t>las medidas previstas en la disposición adicional tercera mantendrán su eficacia hasta que</w:t>
      </w:r>
      <w:r w:rsidRPr="00126853">
        <w:rPr>
          <w:rFonts w:ascii="Arial" w:eastAsiaTheme="minorHAnsi" w:hAnsi="Arial" w:cs="Arial"/>
          <w:color w:val="000000"/>
          <w:sz w:val="24"/>
          <w:szCs w:val="24"/>
          <w:lang w:eastAsia="en-US"/>
        </w:rPr>
        <w:t xml:space="preserve">, </w:t>
      </w:r>
      <w:r w:rsidRPr="00126853">
        <w:rPr>
          <w:rFonts w:ascii="Arial" w:eastAsiaTheme="minorHAnsi" w:hAnsi="Arial" w:cs="Arial"/>
          <w:b/>
          <w:color w:val="000000"/>
          <w:sz w:val="24"/>
          <w:szCs w:val="24"/>
          <w:lang w:eastAsia="en-US"/>
        </w:rPr>
        <w:t>tras la finalización de la vigencia del estado de alarma, se normalice el funcionamiento de las oficinas de atención e información al ciudadano de las distintas entidades gestoras de la Seguridad Social</w:t>
      </w:r>
      <w:r w:rsidRPr="00126853">
        <w:rPr>
          <w:rFonts w:ascii="Arial" w:eastAsiaTheme="minorHAnsi" w:hAnsi="Arial" w:cs="Arial"/>
          <w:color w:val="000000"/>
          <w:sz w:val="24"/>
          <w:szCs w:val="24"/>
          <w:lang w:eastAsia="en-US"/>
        </w:rPr>
        <w:t>, lo que se determinará mediante resolución del Secretario de Estado de Seguridad Social y Pensiones, que se publicará en el «Boletín Oficial del Estado».</w:t>
      </w:r>
    </w:p>
    <w:p w:rsidR="00126853" w:rsidRPr="00126853" w:rsidRDefault="00126853" w:rsidP="00126853">
      <w:pPr>
        <w:numPr>
          <w:ilvl w:val="0"/>
          <w:numId w:val="11"/>
        </w:numPr>
        <w:spacing w:after="200" w:line="360" w:lineRule="auto"/>
        <w:contextualSpacing/>
        <w:jc w:val="both"/>
        <w:rPr>
          <w:rFonts w:ascii="Arial" w:eastAsiaTheme="minorHAnsi" w:hAnsi="Arial" w:cs="Arial"/>
          <w:b/>
          <w:sz w:val="24"/>
          <w:szCs w:val="24"/>
          <w:u w:val="single"/>
          <w:lang w:eastAsia="en-US"/>
        </w:rPr>
      </w:pPr>
      <w:r w:rsidRPr="00126853">
        <w:rPr>
          <w:rFonts w:ascii="Arial" w:eastAsiaTheme="minorHAnsi" w:hAnsi="Arial" w:cs="Arial"/>
          <w:color w:val="000000"/>
          <w:sz w:val="24"/>
          <w:szCs w:val="24"/>
          <w:lang w:eastAsia="en-US"/>
        </w:rPr>
        <w:t xml:space="preserve">Del mismo modo, </w:t>
      </w:r>
      <w:r w:rsidRPr="00126853">
        <w:rPr>
          <w:rFonts w:ascii="Arial" w:eastAsiaTheme="minorHAnsi" w:hAnsi="Arial" w:cs="Arial"/>
          <w:b/>
          <w:color w:val="000000"/>
          <w:sz w:val="24"/>
          <w:szCs w:val="24"/>
          <w:lang w:eastAsia="en-US"/>
        </w:rPr>
        <w:t>las medidas previstas en el apartado 1 de la disposición adicional cuarta mantendrán su eficacia hasta que, tras la finalización de la vigencia del estado de alarma, se normalice el funcionamiento de las oficinas de atención e información al ciudadano de las oficinas de prestaciones del Servicio Público de Empleo Estatal</w:t>
      </w:r>
      <w:r w:rsidRPr="00126853">
        <w:rPr>
          <w:rFonts w:ascii="Arial" w:eastAsiaTheme="minorHAnsi" w:hAnsi="Arial" w:cs="Arial"/>
          <w:color w:val="000000"/>
          <w:sz w:val="24"/>
          <w:szCs w:val="24"/>
          <w:lang w:eastAsia="en-US"/>
        </w:rPr>
        <w:t xml:space="preserve">,  y del Instituto Social de la Marina, mediante resolución </w:t>
      </w:r>
    </w:p>
    <w:p w:rsidR="00126853" w:rsidRPr="00126853" w:rsidRDefault="00126853" w:rsidP="00126853">
      <w:pPr>
        <w:spacing w:after="200" w:line="360" w:lineRule="auto"/>
        <w:ind w:left="360"/>
        <w:jc w:val="both"/>
        <w:rPr>
          <w:rFonts w:ascii="Arial" w:eastAsiaTheme="minorHAnsi" w:hAnsi="Arial" w:cs="Arial"/>
          <w:b/>
          <w:sz w:val="24"/>
          <w:szCs w:val="24"/>
          <w:u w:val="single"/>
          <w:lang w:eastAsia="en-US"/>
        </w:rPr>
      </w:pPr>
    </w:p>
    <w:p w:rsidR="00126853" w:rsidRDefault="00126853" w:rsidP="00126853">
      <w:pPr>
        <w:numPr>
          <w:ilvl w:val="0"/>
          <w:numId w:val="11"/>
        </w:numPr>
        <w:spacing w:after="200" w:line="360" w:lineRule="auto"/>
        <w:contextualSpacing/>
        <w:jc w:val="both"/>
        <w:rPr>
          <w:rFonts w:ascii="Arial" w:eastAsiaTheme="minorHAnsi" w:hAnsi="Arial" w:cs="Arial"/>
          <w:b/>
          <w:sz w:val="24"/>
          <w:szCs w:val="24"/>
          <w:u w:val="single"/>
          <w:lang w:eastAsia="en-US"/>
        </w:rPr>
      </w:pPr>
      <w:r w:rsidRPr="00126853">
        <w:rPr>
          <w:rFonts w:ascii="Arial" w:eastAsiaTheme="minorHAnsi" w:hAnsi="Arial" w:cs="Arial"/>
          <w:b/>
          <w:sz w:val="24"/>
          <w:szCs w:val="24"/>
          <w:u w:val="single"/>
          <w:lang w:eastAsia="en-US"/>
        </w:rPr>
        <w:t>Adaptaciones de los aplicativos informáticos.</w:t>
      </w:r>
    </w:p>
    <w:p w:rsidR="00126853" w:rsidRPr="00126853" w:rsidRDefault="00126853" w:rsidP="00126853">
      <w:pPr>
        <w:spacing w:after="200" w:line="360" w:lineRule="auto"/>
        <w:ind w:left="720"/>
        <w:contextualSpacing/>
        <w:jc w:val="both"/>
        <w:rPr>
          <w:rFonts w:ascii="Arial" w:eastAsiaTheme="minorHAnsi" w:hAnsi="Arial" w:cs="Arial"/>
          <w:b/>
          <w:sz w:val="24"/>
          <w:szCs w:val="24"/>
          <w:u w:val="single"/>
          <w:lang w:eastAsia="en-US"/>
        </w:rPr>
      </w:pPr>
    </w:p>
    <w:p w:rsidR="00126853" w:rsidRPr="00126853" w:rsidRDefault="00126853" w:rsidP="00126853">
      <w:pPr>
        <w:spacing w:after="200" w:line="360" w:lineRule="auto"/>
        <w:ind w:left="709"/>
        <w:jc w:val="both"/>
        <w:rPr>
          <w:rFonts w:ascii="Arial" w:eastAsiaTheme="minorHAnsi" w:hAnsi="Arial" w:cs="Arial"/>
          <w:sz w:val="24"/>
          <w:szCs w:val="24"/>
          <w:lang w:eastAsia="en-US"/>
        </w:rPr>
      </w:pPr>
      <w:r w:rsidRPr="00126853">
        <w:rPr>
          <w:rFonts w:ascii="Arial" w:eastAsiaTheme="minorHAnsi" w:hAnsi="Arial" w:cs="Arial"/>
          <w:sz w:val="24"/>
          <w:szCs w:val="24"/>
          <w:lang w:eastAsia="en-US"/>
        </w:rPr>
        <w:t>Se está trabajando en adaptar los aplicativos informáticos utilizados por las Direcciones Provinciales del Instituto Social de la Marina a las nuevas medidas de simplificación para a tramitación de las prestaciones de la Seguridad Social.</w:t>
      </w:r>
    </w:p>
    <w:p w:rsidR="00126853" w:rsidRDefault="00126853" w:rsidP="00126853">
      <w:pPr>
        <w:spacing w:after="200" w:line="360" w:lineRule="auto"/>
        <w:ind w:left="709"/>
        <w:jc w:val="both"/>
        <w:rPr>
          <w:rFonts w:ascii="Arial" w:eastAsiaTheme="minorHAnsi" w:hAnsi="Arial" w:cs="Arial"/>
          <w:sz w:val="24"/>
          <w:szCs w:val="24"/>
          <w:lang w:eastAsia="en-US"/>
        </w:rPr>
      </w:pPr>
      <w:r w:rsidRPr="00126853">
        <w:rPr>
          <w:rFonts w:ascii="Arial" w:eastAsiaTheme="minorHAnsi" w:hAnsi="Arial" w:cs="Arial"/>
          <w:sz w:val="24"/>
          <w:szCs w:val="24"/>
          <w:lang w:eastAsia="en-US"/>
        </w:rPr>
        <w:t>Conforme se vayan finalizando los desarrollos informáticos se irán comunicando por correo electrónico a los usuarios de las Direcciones Provinciales.</w:t>
      </w:r>
    </w:p>
    <w:p w:rsidR="00126853" w:rsidRPr="00126853" w:rsidRDefault="00126853" w:rsidP="00126853">
      <w:pPr>
        <w:spacing w:after="200" w:line="360" w:lineRule="auto"/>
        <w:ind w:left="709"/>
        <w:jc w:val="both"/>
        <w:rPr>
          <w:rFonts w:ascii="Arial" w:eastAsiaTheme="minorHAnsi" w:hAnsi="Arial" w:cs="Arial"/>
          <w:sz w:val="18"/>
          <w:szCs w:val="18"/>
          <w:lang w:eastAsia="en-US"/>
        </w:rPr>
      </w:pPr>
      <w:bookmarkStart w:id="0" w:name="_GoBack"/>
      <w:bookmarkEnd w:id="0"/>
      <w:r w:rsidRPr="00126853">
        <w:rPr>
          <w:rFonts w:ascii="Arial" w:eastAsiaTheme="minorHAnsi" w:hAnsi="Arial" w:cs="Arial"/>
          <w:sz w:val="18"/>
          <w:szCs w:val="18"/>
          <w:lang w:eastAsia="en-US"/>
        </w:rPr>
        <w:t>M</w:t>
      </w:r>
      <w:r w:rsidRPr="00126853">
        <w:rPr>
          <w:rFonts w:ascii="Arial" w:eastAsiaTheme="minorHAnsi" w:hAnsi="Arial" w:cs="Arial"/>
          <w:sz w:val="18"/>
          <w:szCs w:val="18"/>
          <w:lang w:eastAsia="en-US"/>
        </w:rPr>
        <w:t>adrid, 8 de abril de 2020.</w:t>
      </w:r>
    </w:p>
    <w:sectPr w:rsidR="00126853" w:rsidRPr="00126853" w:rsidSect="00F74B1B">
      <w:headerReference w:type="default" r:id="rId9"/>
      <w:footerReference w:type="default" r:id="rId10"/>
      <w:headerReference w:type="first" r:id="rId11"/>
      <w:footerReference w:type="first" r:id="rId12"/>
      <w:pgSz w:w="11906" w:h="16838" w:code="9"/>
      <w:pgMar w:top="2552" w:right="707" w:bottom="1418" w:left="794" w:header="546"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C99" w:rsidRDefault="00833C99">
      <w:r>
        <w:separator/>
      </w:r>
    </w:p>
  </w:endnote>
  <w:endnote w:type="continuationSeparator" w:id="0">
    <w:p w:rsidR="00833C99" w:rsidRDefault="0083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fuentemap">
    <w:altName w:val="Symbol"/>
    <w:charset w:val="02"/>
    <w:family w:val="roman"/>
    <w:pitch w:val="variable"/>
    <w:sig w:usb0="00000000" w:usb1="10000000" w:usb2="00000000" w:usb3="00000000" w:csb0="80000000" w:csb1="00000000"/>
  </w:font>
  <w:font w:name="Courier New-SM">
    <w:altName w:val="Courier New"/>
    <w:charset w:val="00"/>
    <w:family w:val="modern"/>
    <w:pitch w:val="fixed"/>
    <w:sig w:usb0="00000287" w:usb1="00000000" w:usb2="00000000" w:usb3="00000000" w:csb0="0000009F" w:csb1="00000000"/>
  </w:font>
  <w:font w:name="Arial Narrow-SM">
    <w:altName w:val="Arial Narrow"/>
    <w:charset w:val="00"/>
    <w:family w:val="swiss"/>
    <w:pitch w:val="variable"/>
    <w:sig w:usb0="00000287" w:usb1="00000000" w:usb2="00000000" w:usb3="00000000" w:csb0="0000009F" w:csb1="00000000"/>
  </w:font>
  <w:font w:name="Gill Sans">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8" w:type="dxa"/>
      <w:tblLayout w:type="fixed"/>
      <w:tblCellMar>
        <w:left w:w="70" w:type="dxa"/>
        <w:right w:w="70" w:type="dxa"/>
      </w:tblCellMar>
      <w:tblLook w:val="0000" w:firstRow="0" w:lastRow="0" w:firstColumn="0" w:lastColumn="0" w:noHBand="0" w:noVBand="0"/>
    </w:tblPr>
    <w:tblGrid>
      <w:gridCol w:w="9642"/>
      <w:gridCol w:w="1256"/>
    </w:tblGrid>
    <w:tr w:rsidR="00CC5C75">
      <w:tc>
        <w:tcPr>
          <w:tcW w:w="9709" w:type="dxa"/>
        </w:tcPr>
        <w:p w:rsidR="00CC5C75" w:rsidRDefault="00CC5C75" w:rsidP="00C1092A">
          <w:pPr>
            <w:pStyle w:val="Piedepgina"/>
            <w:tabs>
              <w:tab w:val="clear" w:pos="4252"/>
              <w:tab w:val="clear" w:pos="8504"/>
              <w:tab w:val="left" w:pos="6107"/>
              <w:tab w:val="left" w:pos="7534"/>
            </w:tabs>
          </w:pPr>
          <w:r>
            <w:tab/>
          </w:r>
          <w:r>
            <w:tab/>
          </w:r>
        </w:p>
      </w:tc>
      <w:tc>
        <w:tcPr>
          <w:tcW w:w="1264" w:type="dxa"/>
        </w:tcPr>
        <w:p w:rsidR="00CC5C75" w:rsidRDefault="00CC5C75">
          <w:pPr>
            <w:pStyle w:val="Piedepgina"/>
            <w:rPr>
              <w:rFonts w:ascii="Arial" w:hAnsi="Arial"/>
              <w:sz w:val="10"/>
            </w:rPr>
          </w:pPr>
          <w:r>
            <w:rPr>
              <w:rFonts w:ascii="Arial" w:hAnsi="Arial"/>
              <w:sz w:val="10"/>
            </w:rPr>
            <w:t>MINISTERIO</w:t>
          </w:r>
        </w:p>
        <w:p w:rsidR="00CC5C75" w:rsidRDefault="00CC5C75" w:rsidP="007D3BD2">
          <w:pPr>
            <w:pStyle w:val="Piedepgina"/>
          </w:pPr>
          <w:r>
            <w:rPr>
              <w:rFonts w:ascii="Arial" w:hAnsi="Arial"/>
              <w:sz w:val="10"/>
            </w:rPr>
            <w:t xml:space="preserve">DE </w:t>
          </w:r>
          <w:r w:rsidR="007D3BD2">
            <w:rPr>
              <w:rFonts w:ascii="Arial" w:hAnsi="Arial"/>
              <w:sz w:val="10"/>
            </w:rPr>
            <w:t>INCLUSION, SEGURIDAD SOCIAL Y MIGRACIONES</w:t>
          </w:r>
        </w:p>
      </w:tc>
    </w:tr>
    <w:tr w:rsidR="00CC5C75">
      <w:trPr>
        <w:trHeight w:hRule="exact" w:val="709"/>
      </w:trPr>
      <w:tc>
        <w:tcPr>
          <w:tcW w:w="9709" w:type="dxa"/>
        </w:tcPr>
        <w:p w:rsidR="00CC5C75" w:rsidRDefault="00CC5C75">
          <w:pPr>
            <w:pStyle w:val="Piedepgina"/>
          </w:pPr>
        </w:p>
        <w:p w:rsidR="00CC5C75" w:rsidRPr="00C1092A" w:rsidRDefault="00CC5C75" w:rsidP="00C1092A"/>
        <w:p w:rsidR="00CC5C75" w:rsidRPr="00C1092A" w:rsidRDefault="00CC5C75" w:rsidP="00C1092A">
          <w:pPr>
            <w:tabs>
              <w:tab w:val="left" w:pos="7020"/>
            </w:tabs>
          </w:pPr>
          <w:r>
            <w:tab/>
          </w:r>
        </w:p>
      </w:tc>
      <w:tc>
        <w:tcPr>
          <w:tcW w:w="1264" w:type="dxa"/>
        </w:tcPr>
        <w:p w:rsidR="00CC5C75" w:rsidRDefault="00CC5C75">
          <w:pPr>
            <w:pStyle w:val="Piedepgina"/>
            <w:pBdr>
              <w:bottom w:val="single" w:sz="6" w:space="1" w:color="auto"/>
            </w:pBdr>
            <w:rPr>
              <w:rFonts w:ascii="Arial" w:hAnsi="Arial" w:cs="Arial"/>
              <w:sz w:val="10"/>
              <w:szCs w:val="10"/>
            </w:rPr>
          </w:pPr>
        </w:p>
        <w:p w:rsidR="00CC5C75" w:rsidRDefault="00CC5C75">
          <w:pPr>
            <w:pStyle w:val="Piedepgina"/>
            <w:rPr>
              <w:rFonts w:ascii="Arial" w:hAnsi="Arial" w:cs="Arial"/>
              <w:sz w:val="10"/>
              <w:szCs w:val="10"/>
            </w:rPr>
          </w:pPr>
        </w:p>
        <w:p w:rsidR="00CC5C75" w:rsidRDefault="00CC5C75">
          <w:pPr>
            <w:pStyle w:val="Piedepgina"/>
            <w:rPr>
              <w:rFonts w:ascii="Arial" w:hAnsi="Arial" w:cs="Arial"/>
              <w:sz w:val="10"/>
              <w:szCs w:val="10"/>
            </w:rPr>
          </w:pPr>
          <w:r>
            <w:rPr>
              <w:rFonts w:ascii="Arial" w:hAnsi="Arial" w:cs="Arial"/>
              <w:sz w:val="10"/>
              <w:szCs w:val="10"/>
            </w:rPr>
            <w:t>INSTITUTO SOCIAL</w:t>
          </w:r>
        </w:p>
        <w:p w:rsidR="00CC5C75" w:rsidRPr="00CE09D9" w:rsidRDefault="00CC5C75">
          <w:pPr>
            <w:pStyle w:val="Piedepgina"/>
            <w:rPr>
              <w:rFonts w:ascii="Arial" w:hAnsi="Arial" w:cs="Arial"/>
              <w:sz w:val="10"/>
              <w:szCs w:val="10"/>
            </w:rPr>
          </w:pPr>
          <w:r>
            <w:rPr>
              <w:rFonts w:ascii="Arial" w:hAnsi="Arial" w:cs="Arial"/>
              <w:sz w:val="10"/>
              <w:szCs w:val="10"/>
            </w:rPr>
            <w:t>DE LA MARINA</w:t>
          </w:r>
        </w:p>
      </w:tc>
    </w:tr>
  </w:tbl>
  <w:p w:rsidR="00CC5C75" w:rsidRDefault="00CC5C7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Layout w:type="fixed"/>
      <w:tblCellMar>
        <w:left w:w="70" w:type="dxa"/>
        <w:right w:w="70" w:type="dxa"/>
      </w:tblCellMar>
      <w:tblLook w:val="0000" w:firstRow="0" w:lastRow="0" w:firstColumn="0" w:lastColumn="0" w:noHBand="0" w:noVBand="0"/>
    </w:tblPr>
    <w:tblGrid>
      <w:gridCol w:w="72"/>
      <w:gridCol w:w="1859"/>
      <w:gridCol w:w="670"/>
      <w:gridCol w:w="2529"/>
      <w:gridCol w:w="3803"/>
      <w:gridCol w:w="2124"/>
    </w:tblGrid>
    <w:tr w:rsidR="00CC5C75">
      <w:trPr>
        <w:gridBefore w:val="1"/>
        <w:wBefore w:w="72" w:type="dxa"/>
        <w:cantSplit/>
      </w:trPr>
      <w:tc>
        <w:tcPr>
          <w:tcW w:w="2529" w:type="dxa"/>
          <w:gridSpan w:val="2"/>
        </w:tcPr>
        <w:p w:rsidR="00CC5C75" w:rsidRDefault="00CC5C75">
          <w:pPr>
            <w:pStyle w:val="Piedepgina"/>
          </w:pPr>
        </w:p>
      </w:tc>
      <w:tc>
        <w:tcPr>
          <w:tcW w:w="2529" w:type="dxa"/>
        </w:tcPr>
        <w:p w:rsidR="00CC5C75" w:rsidRDefault="00CC5C75">
          <w:pPr>
            <w:pStyle w:val="Piedepgina"/>
          </w:pPr>
          <w:r>
            <w:rPr>
              <w:noProof/>
            </w:rPr>
            <w:drawing>
              <wp:anchor distT="0" distB="0" distL="114300" distR="114300" simplePos="0" relativeHeight="251659776" behindDoc="0" locked="0" layoutInCell="1" allowOverlap="1" wp14:anchorId="44517FDA" wp14:editId="05A296E1">
                <wp:simplePos x="0" y="0"/>
                <wp:positionH relativeFrom="column">
                  <wp:posOffset>1353744</wp:posOffset>
                </wp:positionH>
                <wp:positionV relativeFrom="paragraph">
                  <wp:posOffset>-64770</wp:posOffset>
                </wp:positionV>
                <wp:extent cx="631818" cy="739726"/>
                <wp:effectExtent l="0" t="0" r="0" b="381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o escaneo modificado 5.jpg"/>
                        <pic:cNvPicPr/>
                      </pic:nvPicPr>
                      <pic:blipFill>
                        <a:blip r:embed="rId1">
                          <a:extLst>
                            <a:ext uri="{28A0092B-C50C-407E-A947-70E740481C1C}">
                              <a14:useLocalDpi xmlns:a14="http://schemas.microsoft.com/office/drawing/2010/main" val="0"/>
                            </a:ext>
                          </a:extLst>
                        </a:blip>
                        <a:stretch>
                          <a:fillRect/>
                        </a:stretch>
                      </pic:blipFill>
                      <pic:spPr>
                        <a:xfrm>
                          <a:off x="0" y="0"/>
                          <a:ext cx="631818" cy="739726"/>
                        </a:xfrm>
                        <a:prstGeom prst="rect">
                          <a:avLst/>
                        </a:prstGeom>
                      </pic:spPr>
                    </pic:pic>
                  </a:graphicData>
                </a:graphic>
                <wp14:sizeRelH relativeFrom="page">
                  <wp14:pctWidth>0</wp14:pctWidth>
                </wp14:sizeRelH>
                <wp14:sizeRelV relativeFrom="page">
                  <wp14:pctHeight>0</wp14:pctHeight>
                </wp14:sizeRelV>
              </wp:anchor>
            </w:drawing>
          </w:r>
        </w:p>
      </w:tc>
      <w:tc>
        <w:tcPr>
          <w:tcW w:w="3803" w:type="dxa"/>
          <w:tcBorders>
            <w:right w:val="single" w:sz="4" w:space="0" w:color="auto"/>
          </w:tcBorders>
        </w:tcPr>
        <w:p w:rsidR="00CC5C75" w:rsidRDefault="00CC5C75">
          <w:pPr>
            <w:pStyle w:val="Piedepgina"/>
          </w:pPr>
        </w:p>
      </w:tc>
      <w:tc>
        <w:tcPr>
          <w:tcW w:w="2124" w:type="dxa"/>
          <w:vMerge w:val="restart"/>
          <w:tcBorders>
            <w:left w:val="single" w:sz="4" w:space="0" w:color="auto"/>
          </w:tcBorders>
        </w:tcPr>
        <w:p w:rsidR="00CC5C75" w:rsidRDefault="00CC5C75" w:rsidP="00F14797">
          <w:pPr>
            <w:pStyle w:val="Piedepgina"/>
            <w:rPr>
              <w:rFonts w:ascii="Arial" w:hAnsi="Arial"/>
              <w:sz w:val="14"/>
            </w:rPr>
          </w:pPr>
          <w:r>
            <w:rPr>
              <w:rFonts w:ascii="Arial" w:hAnsi="Arial"/>
              <w:sz w:val="14"/>
            </w:rPr>
            <w:t>GÉNOVA, 24</w:t>
          </w:r>
        </w:p>
        <w:p w:rsidR="00CC5C75" w:rsidRDefault="00CC5C75" w:rsidP="00F14797">
          <w:pPr>
            <w:pStyle w:val="Piedepgina"/>
            <w:rPr>
              <w:rFonts w:ascii="Arial" w:hAnsi="Arial"/>
              <w:sz w:val="14"/>
            </w:rPr>
          </w:pPr>
          <w:r>
            <w:rPr>
              <w:rFonts w:ascii="Arial" w:hAnsi="Arial"/>
              <w:sz w:val="14"/>
            </w:rPr>
            <w:t>28004 MADRID</w:t>
          </w:r>
        </w:p>
        <w:p w:rsidR="00CC5C75" w:rsidRDefault="00CC5C75" w:rsidP="00F14797">
          <w:pPr>
            <w:pStyle w:val="Piedepgina"/>
            <w:rPr>
              <w:rFonts w:ascii="Arial" w:hAnsi="Arial"/>
              <w:sz w:val="14"/>
            </w:rPr>
          </w:pPr>
          <w:r>
            <w:rPr>
              <w:rFonts w:ascii="Arial" w:hAnsi="Arial"/>
              <w:sz w:val="14"/>
            </w:rPr>
            <w:t xml:space="preserve">TEL.: </w:t>
          </w:r>
          <w:smartTag w:uri="urn:schemas-microsoft-com:office:smarttags" w:element="phone">
            <w:smartTagPr>
              <w:attr w:uri="urn:schemas-microsoft-com:office:office" w:name="ls" w:val="trans"/>
            </w:smartTagPr>
            <w:r>
              <w:rPr>
                <w:rFonts w:ascii="Arial" w:hAnsi="Arial"/>
                <w:sz w:val="14"/>
              </w:rPr>
              <w:t>91 700 66 26</w:t>
            </w:r>
          </w:smartTag>
        </w:p>
        <w:p w:rsidR="00CC5C75" w:rsidRDefault="00CC5C75" w:rsidP="00F14797">
          <w:pPr>
            <w:pStyle w:val="Piedepgina"/>
            <w:rPr>
              <w:rFonts w:ascii="Arial" w:hAnsi="Arial"/>
              <w:sz w:val="14"/>
            </w:rPr>
          </w:pPr>
          <w:r>
            <w:rPr>
              <w:rFonts w:ascii="Arial" w:hAnsi="Arial"/>
              <w:sz w:val="14"/>
            </w:rPr>
            <w:t>FAX.: 91 700 68 19</w:t>
          </w:r>
        </w:p>
        <w:p w:rsidR="00CC5C75" w:rsidRPr="00547BE8" w:rsidRDefault="00CC5C75" w:rsidP="00F14797">
          <w:pPr>
            <w:pStyle w:val="Piedepgina"/>
            <w:rPr>
              <w:rFonts w:ascii="Arial" w:hAnsi="Arial" w:cs="Arial"/>
              <w:sz w:val="14"/>
              <w:szCs w:val="14"/>
            </w:rPr>
          </w:pPr>
          <w:r w:rsidRPr="00547BE8">
            <w:rPr>
              <w:rFonts w:ascii="Arial" w:hAnsi="Arial" w:cs="Arial"/>
              <w:sz w:val="14"/>
              <w:szCs w:val="14"/>
            </w:rPr>
            <w:t xml:space="preserve">Código DIR3: </w:t>
          </w:r>
          <w:r w:rsidRPr="00B56B1C">
            <w:rPr>
              <w:rFonts w:ascii="Arial" w:hAnsi="Arial" w:cs="Arial"/>
              <w:sz w:val="14"/>
              <w:szCs w:val="14"/>
            </w:rPr>
            <w:t>EA0021262</w:t>
          </w:r>
        </w:p>
      </w:tc>
    </w:tr>
    <w:tr w:rsidR="00CC5C75">
      <w:trPr>
        <w:gridBefore w:val="1"/>
        <w:wBefore w:w="72" w:type="dxa"/>
        <w:cantSplit/>
      </w:trPr>
      <w:tc>
        <w:tcPr>
          <w:tcW w:w="1859" w:type="dxa"/>
          <w:tcBorders>
            <w:top w:val="single" w:sz="2" w:space="0" w:color="auto"/>
            <w:left w:val="single" w:sz="2" w:space="0" w:color="auto"/>
            <w:bottom w:val="single" w:sz="2" w:space="0" w:color="auto"/>
            <w:right w:val="single" w:sz="2" w:space="0" w:color="auto"/>
          </w:tcBorders>
          <w:vAlign w:val="center"/>
        </w:tcPr>
        <w:p w:rsidR="00CC5C75" w:rsidRDefault="00CC5C75">
          <w:pPr>
            <w:pStyle w:val="Piedepgina"/>
            <w:jc w:val="center"/>
            <w:rPr>
              <w:rFonts w:ascii="Arial" w:hAnsi="Arial"/>
              <w:sz w:val="14"/>
            </w:rPr>
          </w:pPr>
          <w:r>
            <w:rPr>
              <w:rFonts w:ascii="Arial" w:hAnsi="Arial"/>
              <w:sz w:val="14"/>
            </w:rPr>
            <w:t>CORREO ELECTRONICO</w:t>
          </w:r>
        </w:p>
      </w:tc>
      <w:tc>
        <w:tcPr>
          <w:tcW w:w="670" w:type="dxa"/>
          <w:tcBorders>
            <w:left w:val="nil"/>
          </w:tcBorders>
          <w:vAlign w:val="center"/>
        </w:tcPr>
        <w:p w:rsidR="00CC5C75" w:rsidRDefault="00CC5C75">
          <w:pPr>
            <w:pStyle w:val="Piedepgina"/>
            <w:rPr>
              <w:rFonts w:ascii="Arial" w:hAnsi="Arial"/>
              <w:sz w:val="14"/>
            </w:rPr>
          </w:pPr>
        </w:p>
      </w:tc>
      <w:tc>
        <w:tcPr>
          <w:tcW w:w="2529" w:type="dxa"/>
        </w:tcPr>
        <w:p w:rsidR="00CC5C75" w:rsidRDefault="00CC5C75">
          <w:pPr>
            <w:pStyle w:val="Piedepgina"/>
          </w:pPr>
        </w:p>
      </w:tc>
      <w:tc>
        <w:tcPr>
          <w:tcW w:w="3803" w:type="dxa"/>
          <w:tcBorders>
            <w:right w:val="single" w:sz="4" w:space="0" w:color="auto"/>
          </w:tcBorders>
        </w:tcPr>
        <w:p w:rsidR="00CC5C75" w:rsidRDefault="00CC5C75">
          <w:pPr>
            <w:pStyle w:val="Piedepgina"/>
          </w:pPr>
        </w:p>
      </w:tc>
      <w:tc>
        <w:tcPr>
          <w:tcW w:w="2124" w:type="dxa"/>
          <w:vMerge/>
          <w:tcBorders>
            <w:left w:val="single" w:sz="4" w:space="0" w:color="auto"/>
          </w:tcBorders>
        </w:tcPr>
        <w:p w:rsidR="00CC5C75" w:rsidRDefault="00CC5C75">
          <w:pPr>
            <w:pStyle w:val="Piedepgina"/>
          </w:pPr>
        </w:p>
      </w:tc>
    </w:tr>
    <w:tr w:rsidR="00CC5C75">
      <w:trPr>
        <w:gridBefore w:val="1"/>
        <w:wBefore w:w="72" w:type="dxa"/>
        <w:cantSplit/>
        <w:trHeight w:hRule="exact" w:val="90"/>
      </w:trPr>
      <w:tc>
        <w:tcPr>
          <w:tcW w:w="5058" w:type="dxa"/>
          <w:gridSpan w:val="3"/>
          <w:vAlign w:val="center"/>
        </w:tcPr>
        <w:p w:rsidR="00CC5C75" w:rsidRDefault="00CC5C75">
          <w:pPr>
            <w:pStyle w:val="Piedepgina"/>
          </w:pPr>
        </w:p>
      </w:tc>
      <w:tc>
        <w:tcPr>
          <w:tcW w:w="3803" w:type="dxa"/>
          <w:vMerge w:val="restart"/>
          <w:tcBorders>
            <w:right w:val="single" w:sz="4" w:space="0" w:color="auto"/>
          </w:tcBorders>
        </w:tcPr>
        <w:p w:rsidR="00CC5C75" w:rsidRDefault="00CC5C75">
          <w:pPr>
            <w:pStyle w:val="Piedepgina"/>
          </w:pPr>
        </w:p>
      </w:tc>
      <w:tc>
        <w:tcPr>
          <w:tcW w:w="2124" w:type="dxa"/>
          <w:vMerge/>
          <w:tcBorders>
            <w:left w:val="single" w:sz="4" w:space="0" w:color="auto"/>
          </w:tcBorders>
        </w:tcPr>
        <w:p w:rsidR="00CC5C75" w:rsidRDefault="00CC5C75">
          <w:pPr>
            <w:pStyle w:val="Piedepgina"/>
          </w:pPr>
        </w:p>
      </w:tc>
    </w:tr>
    <w:tr w:rsidR="00CC5C75">
      <w:trPr>
        <w:cantSplit/>
        <w:trHeight w:val="390"/>
      </w:trPr>
      <w:tc>
        <w:tcPr>
          <w:tcW w:w="5130" w:type="dxa"/>
          <w:gridSpan w:val="4"/>
        </w:tcPr>
        <w:p w:rsidR="00CC5C75" w:rsidRDefault="00CC5C75">
          <w:pPr>
            <w:pStyle w:val="Piedepgina"/>
            <w:rPr>
              <w:rFonts w:ascii="Arial" w:hAnsi="Arial"/>
              <w:sz w:val="14"/>
            </w:rPr>
          </w:pPr>
          <w:r w:rsidRPr="002906E8">
            <w:rPr>
              <w:rFonts w:ascii="Arial" w:hAnsi="Arial"/>
              <w:sz w:val="14"/>
            </w:rPr>
            <w:t>sscc.seguridadsocial.ism@seg-social.es</w:t>
          </w:r>
        </w:p>
        <w:p w:rsidR="00CC5C75" w:rsidRDefault="00CC5C75">
          <w:pPr>
            <w:pStyle w:val="Piedepgina"/>
            <w:rPr>
              <w:rFonts w:ascii="Arial" w:hAnsi="Arial"/>
              <w:sz w:val="14"/>
            </w:rPr>
          </w:pPr>
        </w:p>
        <w:p w:rsidR="00CC5C75" w:rsidRDefault="00CC5C75">
          <w:pPr>
            <w:pStyle w:val="Piedepgina"/>
            <w:rPr>
              <w:rFonts w:ascii="Arial" w:hAnsi="Arial"/>
              <w:sz w:val="14"/>
            </w:rPr>
          </w:pPr>
        </w:p>
      </w:tc>
      <w:tc>
        <w:tcPr>
          <w:tcW w:w="3803" w:type="dxa"/>
          <w:vMerge/>
          <w:tcBorders>
            <w:right w:val="single" w:sz="4" w:space="0" w:color="auto"/>
          </w:tcBorders>
        </w:tcPr>
        <w:p w:rsidR="00CC5C75" w:rsidRDefault="00CC5C75">
          <w:pPr>
            <w:pStyle w:val="Piedepgina"/>
          </w:pPr>
        </w:p>
      </w:tc>
      <w:tc>
        <w:tcPr>
          <w:tcW w:w="2124" w:type="dxa"/>
          <w:vMerge/>
          <w:tcBorders>
            <w:left w:val="single" w:sz="4" w:space="0" w:color="auto"/>
          </w:tcBorders>
        </w:tcPr>
        <w:p w:rsidR="00CC5C75" w:rsidRDefault="00CC5C75">
          <w:pPr>
            <w:pStyle w:val="Piedepgina"/>
          </w:pPr>
        </w:p>
      </w:tc>
    </w:tr>
  </w:tbl>
  <w:p w:rsidR="00CC5C75" w:rsidRDefault="00CC5C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C99" w:rsidRDefault="00833C99">
      <w:r>
        <w:separator/>
      </w:r>
    </w:p>
  </w:footnote>
  <w:footnote w:type="continuationSeparator" w:id="0">
    <w:p w:rsidR="00833C99" w:rsidRDefault="00833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13" w:type="dxa"/>
      <w:tblLayout w:type="fixed"/>
      <w:tblCellMar>
        <w:left w:w="70" w:type="dxa"/>
        <w:right w:w="70" w:type="dxa"/>
      </w:tblCellMar>
      <w:tblLook w:val="0000" w:firstRow="0" w:lastRow="0" w:firstColumn="0" w:lastColumn="0" w:noHBand="0" w:noVBand="0"/>
    </w:tblPr>
    <w:tblGrid>
      <w:gridCol w:w="9887"/>
      <w:gridCol w:w="966"/>
      <w:gridCol w:w="160"/>
    </w:tblGrid>
    <w:tr w:rsidR="00CC5C75">
      <w:trPr>
        <w:trHeight w:hRule="exact" w:val="989"/>
      </w:trPr>
      <w:tc>
        <w:tcPr>
          <w:tcW w:w="9887" w:type="dxa"/>
        </w:tcPr>
        <w:p w:rsidR="00CC5C75" w:rsidRDefault="00CC5C75">
          <w:pPr>
            <w:pStyle w:val="Encabezado"/>
          </w:pPr>
        </w:p>
      </w:tc>
      <w:tc>
        <w:tcPr>
          <w:tcW w:w="966" w:type="dxa"/>
          <w:tcBorders>
            <w:bottom w:val="single" w:sz="4" w:space="0" w:color="auto"/>
          </w:tcBorders>
        </w:tcPr>
        <w:p w:rsidR="00CC5C75" w:rsidRPr="00CE09D9" w:rsidRDefault="00CC5C75" w:rsidP="00CE09D9">
          <w:r>
            <w:rPr>
              <w:noProof/>
            </w:rPr>
            <w:drawing>
              <wp:anchor distT="0" distB="0" distL="114300" distR="114300" simplePos="0" relativeHeight="251658752" behindDoc="0" locked="0" layoutInCell="1" allowOverlap="1" wp14:anchorId="66BE10D1" wp14:editId="24981F35">
                <wp:simplePos x="0" y="0"/>
                <wp:positionH relativeFrom="column">
                  <wp:posOffset>0</wp:posOffset>
                </wp:positionH>
                <wp:positionV relativeFrom="paragraph">
                  <wp:posOffset>0</wp:posOffset>
                </wp:positionV>
                <wp:extent cx="560705" cy="5607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0" w:type="dxa"/>
        </w:tcPr>
        <w:p w:rsidR="00CC5C75" w:rsidRDefault="00CC5C75">
          <w:pPr>
            <w:pStyle w:val="Encabezado"/>
          </w:pPr>
        </w:p>
      </w:tc>
    </w:tr>
    <w:tr w:rsidR="00CC5C75">
      <w:trPr>
        <w:trHeight w:val="278"/>
      </w:trPr>
      <w:tc>
        <w:tcPr>
          <w:tcW w:w="9887" w:type="dxa"/>
        </w:tcPr>
        <w:p w:rsidR="00CC5C75" w:rsidRDefault="00CC5C75">
          <w:pPr>
            <w:pStyle w:val="Encabezado"/>
          </w:pPr>
        </w:p>
      </w:tc>
      <w:tc>
        <w:tcPr>
          <w:tcW w:w="966" w:type="dxa"/>
          <w:vMerge w:val="restart"/>
          <w:tcBorders>
            <w:top w:val="single" w:sz="4" w:space="0" w:color="auto"/>
          </w:tcBorders>
          <w:vAlign w:val="bottom"/>
        </w:tcPr>
        <w:p w:rsidR="00CC5C75" w:rsidRPr="00CE09D9" w:rsidRDefault="00CC5C75" w:rsidP="00C1092A">
          <w:pPr>
            <w:pStyle w:val="Encabezado"/>
            <w:jc w:val="center"/>
          </w:pPr>
          <w:r>
            <w:rPr>
              <w:noProof/>
            </w:rPr>
            <w:drawing>
              <wp:inline distT="0" distB="0" distL="0" distR="0" wp14:anchorId="7AF202B3" wp14:editId="315E940D">
                <wp:extent cx="514985" cy="3092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985" cy="309245"/>
                        </a:xfrm>
                        <a:prstGeom prst="rect">
                          <a:avLst/>
                        </a:prstGeom>
                        <a:noFill/>
                        <a:ln>
                          <a:noFill/>
                        </a:ln>
                      </pic:spPr>
                    </pic:pic>
                  </a:graphicData>
                </a:graphic>
              </wp:inline>
            </w:drawing>
          </w:r>
        </w:p>
      </w:tc>
      <w:tc>
        <w:tcPr>
          <w:tcW w:w="160" w:type="dxa"/>
        </w:tcPr>
        <w:p w:rsidR="00CC5C75" w:rsidRDefault="00CC5C75">
          <w:pPr>
            <w:pStyle w:val="Encabezado"/>
          </w:pPr>
        </w:p>
      </w:tc>
    </w:tr>
    <w:tr w:rsidR="00CC5C75">
      <w:trPr>
        <w:trHeight w:val="279"/>
      </w:trPr>
      <w:tc>
        <w:tcPr>
          <w:tcW w:w="9887" w:type="dxa"/>
        </w:tcPr>
        <w:p w:rsidR="00CC5C75" w:rsidRDefault="00CC5C75">
          <w:pPr>
            <w:pStyle w:val="Encabezado"/>
          </w:pPr>
        </w:p>
      </w:tc>
      <w:tc>
        <w:tcPr>
          <w:tcW w:w="966" w:type="dxa"/>
          <w:vMerge/>
        </w:tcPr>
        <w:p w:rsidR="00CC5C75" w:rsidRDefault="00CC5C75">
          <w:pPr>
            <w:pStyle w:val="Encabezado"/>
          </w:pPr>
        </w:p>
      </w:tc>
      <w:tc>
        <w:tcPr>
          <w:tcW w:w="160" w:type="dxa"/>
        </w:tcPr>
        <w:p w:rsidR="00CC5C75" w:rsidRDefault="00CC5C75">
          <w:pPr>
            <w:pStyle w:val="Encabezado"/>
          </w:pPr>
        </w:p>
      </w:tc>
    </w:tr>
  </w:tbl>
  <w:p w:rsidR="00CC5C75" w:rsidRDefault="00CC5C75">
    <w:pPr>
      <w:pStyle w:val="Encabezado"/>
    </w:pPr>
  </w:p>
  <w:p w:rsidR="00CC5C75" w:rsidRDefault="00CC5C75">
    <w:pPr>
      <w:pStyle w:val="Encabezado"/>
    </w:pPr>
  </w:p>
  <w:p w:rsidR="00CC5C75" w:rsidRDefault="00CC5C7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51" w:type="dxa"/>
      <w:tblLayout w:type="fixed"/>
      <w:tblCellMar>
        <w:left w:w="0" w:type="dxa"/>
        <w:right w:w="0" w:type="dxa"/>
      </w:tblCellMar>
      <w:tblLook w:val="0000" w:firstRow="0" w:lastRow="0" w:firstColumn="0" w:lastColumn="0" w:noHBand="0" w:noVBand="0"/>
    </w:tblPr>
    <w:tblGrid>
      <w:gridCol w:w="1701"/>
      <w:gridCol w:w="3969"/>
      <w:gridCol w:w="1985"/>
      <w:gridCol w:w="567"/>
      <w:gridCol w:w="20"/>
      <w:gridCol w:w="1134"/>
      <w:gridCol w:w="1275"/>
    </w:tblGrid>
    <w:tr w:rsidR="00CC5C75" w:rsidTr="00F74B1B">
      <w:trPr>
        <w:cantSplit/>
        <w:trHeight w:val="290"/>
      </w:trPr>
      <w:tc>
        <w:tcPr>
          <w:tcW w:w="1701" w:type="dxa"/>
          <w:vMerge w:val="restart"/>
        </w:tcPr>
        <w:p w:rsidR="00CC5C75" w:rsidRDefault="00CC5C75" w:rsidP="001012AE">
          <w:pPr>
            <w:pStyle w:val="Encabezado"/>
            <w:spacing w:line="120" w:lineRule="atLeast"/>
            <w:rPr>
              <w:rFonts w:ascii="Symbolfuentemap" w:hAnsi="Symbolfuentemap"/>
              <w:position w:val="12"/>
              <w:sz w:val="40"/>
            </w:rPr>
          </w:pPr>
          <w:r>
            <w:rPr>
              <w:rFonts w:ascii="Symbolfuentemap" w:hAnsi="Symbolfuentemap"/>
              <w:noProof/>
              <w:position w:val="12"/>
              <w:sz w:val="40"/>
            </w:rPr>
            <mc:AlternateContent>
              <mc:Choice Requires="wps">
                <w:drawing>
                  <wp:anchor distT="0" distB="0" distL="114300" distR="114300" simplePos="0" relativeHeight="251661824" behindDoc="0" locked="0" layoutInCell="0" allowOverlap="1" wp14:anchorId="1462767D" wp14:editId="206862FE">
                    <wp:simplePos x="0" y="0"/>
                    <wp:positionH relativeFrom="column">
                      <wp:posOffset>44450</wp:posOffset>
                    </wp:positionH>
                    <wp:positionV relativeFrom="paragraph">
                      <wp:posOffset>110490</wp:posOffset>
                    </wp:positionV>
                    <wp:extent cx="996950" cy="955040"/>
                    <wp:effectExtent l="0" t="0" r="0" b="0"/>
                    <wp:wrapNone/>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95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C75" w:rsidRDefault="00CC5C75" w:rsidP="00651A76">
                                <w:r>
                                  <w:object w:dxaOrig="1545" w:dyaOrig="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8pt;height:67.65pt" o:ole="" fillcolor="window">
                                      <v:imagedata r:id="rId1" o:title=""/>
                                    </v:shape>
                                    <o:OLEObject Type="Embed" ProgID="Word.Picture.8" ShapeID="_x0000_i1026" DrawAspect="Content" ObjectID="_1647858910"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5pt;margin-top:8.7pt;width:78.5pt;height:7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wV+tQ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" o:allowincell="f" filled="f" stroked="f">
                    <v:textbox>
                      <w:txbxContent>
                        <w:p w:rsidR="00CC5C75" w:rsidRDefault="00CC5C75" w:rsidP="00651A76">
                          <w:r>
                            <w:object w:dxaOrig="1545" w:dyaOrig="1632">
                              <v:shape id="_x0000_i1026" type="#_x0000_t75" style="width:62.8pt;height:67.65pt" o:ole="" fillcolor="window">
                                <v:imagedata r:id="rId1" o:title=""/>
                              </v:shape>
                              <o:OLEObject Type="Embed" ProgID="Word.Picture.8" ShapeID="_x0000_i1026" DrawAspect="Content" ObjectID="_1647858910" r:id="rId3"/>
                            </w:object>
                          </w:r>
                        </w:p>
                      </w:txbxContent>
                    </v:textbox>
                  </v:shape>
                </w:pict>
              </mc:Fallback>
            </mc:AlternateContent>
          </w:r>
        </w:p>
      </w:tc>
      <w:tc>
        <w:tcPr>
          <w:tcW w:w="3969" w:type="dxa"/>
          <w:vMerge w:val="restart"/>
          <w:tcBorders>
            <w:left w:val="nil"/>
          </w:tcBorders>
          <w:vAlign w:val="center"/>
        </w:tcPr>
        <w:p w:rsidR="00CC5C75" w:rsidRDefault="00CC5C75" w:rsidP="001012AE">
          <w:pPr>
            <w:pStyle w:val="Encabezado"/>
            <w:rPr>
              <w:rFonts w:ascii="Arial" w:hAnsi="Arial"/>
            </w:rPr>
          </w:pPr>
          <w:r>
            <w:rPr>
              <w:rFonts w:ascii="Arial" w:hAnsi="Arial"/>
            </w:rPr>
            <w:t>MINISTERIO</w:t>
          </w:r>
        </w:p>
        <w:p w:rsidR="007D3BD2" w:rsidRDefault="00CC5C75" w:rsidP="007D3BD2">
          <w:pPr>
            <w:pStyle w:val="Encabezado"/>
            <w:ind w:right="-1418"/>
            <w:rPr>
              <w:rFonts w:ascii="Arial" w:hAnsi="Arial"/>
            </w:rPr>
          </w:pPr>
          <w:r>
            <w:rPr>
              <w:rFonts w:ascii="Arial" w:hAnsi="Arial"/>
            </w:rPr>
            <w:t xml:space="preserve">DE </w:t>
          </w:r>
          <w:r w:rsidR="007D3BD2">
            <w:rPr>
              <w:rFonts w:ascii="Arial" w:hAnsi="Arial"/>
            </w:rPr>
            <w:t>INCLUSION, SEGURIDAD SOCIAL</w:t>
          </w:r>
        </w:p>
        <w:p w:rsidR="00CC5C75" w:rsidRDefault="007D3BD2" w:rsidP="007D3BD2">
          <w:pPr>
            <w:pStyle w:val="Encabezado"/>
            <w:ind w:right="-1418"/>
            <w:rPr>
              <w:rFonts w:ascii="Arial" w:hAnsi="Arial"/>
            </w:rPr>
          </w:pPr>
          <w:r>
            <w:rPr>
              <w:rFonts w:ascii="Arial" w:hAnsi="Arial"/>
            </w:rPr>
            <w:t>Y MIGRACIONES</w:t>
          </w:r>
        </w:p>
        <w:p w:rsidR="00CC5C75" w:rsidRDefault="00CC5C75" w:rsidP="001012AE">
          <w:pPr>
            <w:pStyle w:val="Encabezado"/>
            <w:spacing w:line="120" w:lineRule="atLeast"/>
            <w:rPr>
              <w:rFonts w:ascii="Arial" w:hAnsi="Arial"/>
              <w:kern w:val="18"/>
            </w:rPr>
          </w:pPr>
        </w:p>
        <w:p w:rsidR="00CC5C75" w:rsidRDefault="00CC5C75" w:rsidP="001012AE">
          <w:pPr>
            <w:pStyle w:val="Encabezado"/>
            <w:spacing w:line="120" w:lineRule="atLeast"/>
            <w:rPr>
              <w:rFonts w:ascii="Arial" w:hAnsi="Arial"/>
              <w:position w:val="12"/>
            </w:rPr>
          </w:pPr>
        </w:p>
      </w:tc>
      <w:tc>
        <w:tcPr>
          <w:tcW w:w="1985" w:type="dxa"/>
          <w:vMerge w:val="restart"/>
        </w:tcPr>
        <w:p w:rsidR="00CC5C75" w:rsidRDefault="00CC5C75" w:rsidP="001012AE">
          <w:pPr>
            <w:pStyle w:val="Encabezado"/>
            <w:spacing w:line="120" w:lineRule="atLeast"/>
            <w:rPr>
              <w:rFonts w:ascii="Courier New-SM" w:hAnsi="Courier New-SM"/>
              <w:position w:val="12"/>
              <w:sz w:val="230"/>
            </w:rPr>
          </w:pPr>
        </w:p>
      </w:tc>
      <w:tc>
        <w:tcPr>
          <w:tcW w:w="567" w:type="dxa"/>
        </w:tcPr>
        <w:p w:rsidR="00CC5C75" w:rsidRDefault="00CC5C75" w:rsidP="001012AE">
          <w:pPr>
            <w:pStyle w:val="Encabezado"/>
            <w:spacing w:line="120" w:lineRule="atLeast"/>
            <w:jc w:val="right"/>
            <w:rPr>
              <w:rFonts w:ascii="Arial" w:hAnsi="Arial"/>
              <w:sz w:val="14"/>
            </w:rPr>
          </w:pPr>
        </w:p>
      </w:tc>
      <w:tc>
        <w:tcPr>
          <w:tcW w:w="20" w:type="dxa"/>
        </w:tcPr>
        <w:p w:rsidR="00CC5C75" w:rsidRDefault="00CC5C75" w:rsidP="001012AE">
          <w:pPr>
            <w:pStyle w:val="Encabezado"/>
            <w:rPr>
              <w:rFonts w:ascii="Arial" w:hAnsi="Arial"/>
              <w:sz w:val="14"/>
            </w:rPr>
          </w:pPr>
        </w:p>
      </w:tc>
      <w:tc>
        <w:tcPr>
          <w:tcW w:w="2409" w:type="dxa"/>
          <w:gridSpan w:val="2"/>
        </w:tcPr>
        <w:p w:rsidR="00CC5C75" w:rsidRDefault="00CC5C75" w:rsidP="001012AE">
          <w:pPr>
            <w:pStyle w:val="Encabezado"/>
            <w:spacing w:line="160" w:lineRule="exact"/>
            <w:rPr>
              <w:rFonts w:ascii="Arial" w:hAnsi="Arial"/>
              <w:sz w:val="14"/>
            </w:rPr>
          </w:pPr>
        </w:p>
      </w:tc>
    </w:tr>
    <w:tr w:rsidR="00CC5C75" w:rsidTr="00F74B1B">
      <w:trPr>
        <w:cantSplit/>
        <w:trHeight w:val="108"/>
      </w:trPr>
      <w:tc>
        <w:tcPr>
          <w:tcW w:w="1701" w:type="dxa"/>
          <w:vMerge/>
        </w:tcPr>
        <w:p w:rsidR="00CC5C75" w:rsidRDefault="00CC5C75" w:rsidP="001012AE">
          <w:pPr>
            <w:pStyle w:val="Encabezado"/>
            <w:spacing w:line="120" w:lineRule="atLeast"/>
            <w:rPr>
              <w:rFonts w:ascii="Arial Narrow-SM" w:hAnsi="Arial Narrow-SM"/>
              <w:position w:val="12"/>
              <w:sz w:val="230"/>
            </w:rPr>
          </w:pPr>
        </w:p>
      </w:tc>
      <w:tc>
        <w:tcPr>
          <w:tcW w:w="3969" w:type="dxa"/>
          <w:vMerge/>
          <w:tcBorders>
            <w:left w:val="nil"/>
          </w:tcBorders>
        </w:tcPr>
        <w:p w:rsidR="00CC5C75" w:rsidRDefault="00CC5C75" w:rsidP="001012AE">
          <w:pPr>
            <w:pStyle w:val="Encabezado"/>
            <w:spacing w:line="120" w:lineRule="atLeast"/>
            <w:rPr>
              <w:rFonts w:ascii="Arial Narrow-SM" w:hAnsi="Arial Narrow-SM"/>
              <w:position w:val="12"/>
              <w:sz w:val="230"/>
            </w:rPr>
          </w:pPr>
        </w:p>
      </w:tc>
      <w:tc>
        <w:tcPr>
          <w:tcW w:w="1985" w:type="dxa"/>
          <w:vMerge/>
        </w:tcPr>
        <w:p w:rsidR="00CC5C75" w:rsidRDefault="00CC5C75" w:rsidP="001012AE">
          <w:pPr>
            <w:pStyle w:val="Encabezado"/>
            <w:spacing w:line="120" w:lineRule="atLeast"/>
            <w:rPr>
              <w:rFonts w:ascii="Arial Narrow-SM" w:hAnsi="Arial Narrow-SM"/>
              <w:position w:val="12"/>
              <w:sz w:val="230"/>
            </w:rPr>
          </w:pPr>
        </w:p>
      </w:tc>
      <w:tc>
        <w:tcPr>
          <w:tcW w:w="567" w:type="dxa"/>
        </w:tcPr>
        <w:p w:rsidR="00CC5C75" w:rsidRDefault="00CC5C75" w:rsidP="001012AE">
          <w:pPr>
            <w:pStyle w:val="Encabezado"/>
            <w:spacing w:line="120" w:lineRule="atLeast"/>
            <w:jc w:val="right"/>
            <w:rPr>
              <w:rFonts w:ascii="Arial" w:hAnsi="Arial"/>
              <w:sz w:val="14"/>
            </w:rPr>
          </w:pPr>
        </w:p>
      </w:tc>
      <w:tc>
        <w:tcPr>
          <w:tcW w:w="20" w:type="dxa"/>
          <w:vMerge w:val="restart"/>
        </w:tcPr>
        <w:p w:rsidR="00CC5C75" w:rsidRDefault="00CC5C75" w:rsidP="001012AE">
          <w:pPr>
            <w:pStyle w:val="Encabezado"/>
            <w:rPr>
              <w:rFonts w:ascii="Arial" w:hAnsi="Arial"/>
              <w:sz w:val="14"/>
            </w:rPr>
          </w:pPr>
        </w:p>
      </w:tc>
      <w:tc>
        <w:tcPr>
          <w:tcW w:w="2409" w:type="dxa"/>
          <w:gridSpan w:val="2"/>
          <w:shd w:val="pct12" w:color="auto" w:fill="FFFFFF"/>
        </w:tcPr>
        <w:p w:rsidR="00CC5C75" w:rsidRDefault="00CC5C75" w:rsidP="001012AE">
          <w:pPr>
            <w:pStyle w:val="Encabezado"/>
            <w:shd w:val="pct12" w:color="auto" w:fill="FFFFFF"/>
            <w:spacing w:line="160" w:lineRule="exact"/>
            <w:rPr>
              <w:rFonts w:ascii="Arial" w:hAnsi="Arial"/>
              <w:sz w:val="14"/>
            </w:rPr>
          </w:pPr>
        </w:p>
      </w:tc>
    </w:tr>
    <w:tr w:rsidR="00CC5C75" w:rsidTr="00F74B1B">
      <w:trPr>
        <w:cantSplit/>
        <w:trHeight w:val="649"/>
      </w:trPr>
      <w:tc>
        <w:tcPr>
          <w:tcW w:w="1701" w:type="dxa"/>
          <w:vMerge/>
        </w:tcPr>
        <w:p w:rsidR="00CC5C75" w:rsidRDefault="00CC5C75" w:rsidP="001012AE">
          <w:pPr>
            <w:pStyle w:val="Encabezado"/>
            <w:spacing w:line="120" w:lineRule="atLeast"/>
            <w:rPr>
              <w:rFonts w:ascii="Arial Narrow-SM" w:hAnsi="Arial Narrow-SM"/>
              <w:position w:val="12"/>
              <w:sz w:val="230"/>
            </w:rPr>
          </w:pPr>
        </w:p>
      </w:tc>
      <w:tc>
        <w:tcPr>
          <w:tcW w:w="3969" w:type="dxa"/>
          <w:vMerge/>
          <w:tcBorders>
            <w:left w:val="nil"/>
          </w:tcBorders>
        </w:tcPr>
        <w:p w:rsidR="00CC5C75" w:rsidRDefault="00CC5C75" w:rsidP="001012AE">
          <w:pPr>
            <w:pStyle w:val="Encabezado"/>
            <w:spacing w:line="120" w:lineRule="atLeast"/>
            <w:rPr>
              <w:rFonts w:ascii="Arial Narrow-SM" w:hAnsi="Arial Narrow-SM"/>
              <w:position w:val="12"/>
              <w:sz w:val="230"/>
            </w:rPr>
          </w:pPr>
        </w:p>
      </w:tc>
      <w:tc>
        <w:tcPr>
          <w:tcW w:w="1985" w:type="dxa"/>
          <w:vMerge/>
        </w:tcPr>
        <w:p w:rsidR="00CC5C75" w:rsidRDefault="00CC5C75" w:rsidP="001012AE">
          <w:pPr>
            <w:pStyle w:val="Encabezado"/>
            <w:spacing w:line="120" w:lineRule="atLeast"/>
            <w:rPr>
              <w:rFonts w:ascii="Arial Narrow-SM" w:hAnsi="Arial Narrow-SM"/>
              <w:position w:val="12"/>
              <w:sz w:val="230"/>
            </w:rPr>
          </w:pPr>
        </w:p>
      </w:tc>
      <w:tc>
        <w:tcPr>
          <w:tcW w:w="567" w:type="dxa"/>
          <w:vMerge w:val="restart"/>
        </w:tcPr>
        <w:p w:rsidR="00CC5C75" w:rsidRDefault="00CC5C75" w:rsidP="001012AE">
          <w:pPr>
            <w:pStyle w:val="Encabezado"/>
            <w:spacing w:line="120" w:lineRule="atLeast"/>
            <w:jc w:val="right"/>
            <w:rPr>
              <w:rFonts w:ascii="Arial" w:hAnsi="Arial"/>
              <w:sz w:val="14"/>
            </w:rPr>
          </w:pPr>
        </w:p>
      </w:tc>
      <w:tc>
        <w:tcPr>
          <w:tcW w:w="20" w:type="dxa"/>
          <w:vMerge/>
        </w:tcPr>
        <w:p w:rsidR="00CC5C75" w:rsidRDefault="00CC5C75" w:rsidP="001012AE">
          <w:pPr>
            <w:pStyle w:val="Encabezado"/>
            <w:rPr>
              <w:rFonts w:ascii="Arial" w:hAnsi="Arial"/>
              <w:sz w:val="14"/>
            </w:rPr>
          </w:pPr>
        </w:p>
      </w:tc>
      <w:tc>
        <w:tcPr>
          <w:tcW w:w="1134" w:type="dxa"/>
        </w:tcPr>
        <w:p w:rsidR="00CC5C75" w:rsidRPr="00A7088F" w:rsidRDefault="00CC5C75" w:rsidP="001012AE">
          <w:pPr>
            <w:pStyle w:val="Encabezado"/>
            <w:spacing w:line="160" w:lineRule="exact"/>
            <w:rPr>
              <w:rFonts w:ascii="Arial" w:hAnsi="Arial"/>
              <w:sz w:val="14"/>
            </w:rPr>
          </w:pPr>
          <w:r>
            <w:rPr>
              <w:rFonts w:ascii="Arial" w:hAnsi="Arial"/>
              <w:noProof/>
              <w:sz w:val="14"/>
            </w:rPr>
            <w:drawing>
              <wp:anchor distT="0" distB="0" distL="114300" distR="114300" simplePos="0" relativeHeight="251662848" behindDoc="1" locked="0" layoutInCell="1" allowOverlap="0" wp14:anchorId="5FAA6BFC" wp14:editId="27FD87DA">
                <wp:simplePos x="0" y="0"/>
                <wp:positionH relativeFrom="column">
                  <wp:posOffset>4445</wp:posOffset>
                </wp:positionH>
                <wp:positionV relativeFrom="paragraph">
                  <wp:posOffset>-415290</wp:posOffset>
                </wp:positionV>
                <wp:extent cx="685800" cy="383540"/>
                <wp:effectExtent l="0" t="0" r="0" b="0"/>
                <wp:wrapTight wrapText="bothSides">
                  <wp:wrapPolygon edited="0">
                    <wp:start x="0" y="0"/>
                    <wp:lineTo x="0" y="20384"/>
                    <wp:lineTo x="21000" y="20384"/>
                    <wp:lineTo x="21000"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3835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5" w:type="dxa"/>
        </w:tcPr>
        <w:p w:rsidR="00CC5C75" w:rsidRDefault="00CC5C75" w:rsidP="001012AE">
          <w:pPr>
            <w:pStyle w:val="Encabezado"/>
            <w:spacing w:line="160" w:lineRule="exact"/>
            <w:rPr>
              <w:rFonts w:ascii="Gill Sans" w:hAnsi="Gill Sans"/>
              <w:sz w:val="14"/>
            </w:rPr>
          </w:pPr>
        </w:p>
        <w:p w:rsidR="00CC5C75" w:rsidRPr="00A7088F" w:rsidRDefault="00CC5C75" w:rsidP="001012AE">
          <w:pPr>
            <w:pStyle w:val="Encabezado"/>
            <w:spacing w:line="160" w:lineRule="exact"/>
            <w:rPr>
              <w:rFonts w:ascii="Arial" w:hAnsi="Arial" w:cs="Arial"/>
              <w:b/>
              <w:sz w:val="12"/>
              <w:szCs w:val="12"/>
            </w:rPr>
          </w:pPr>
          <w:r w:rsidRPr="00A7088F">
            <w:rPr>
              <w:rFonts w:ascii="Arial" w:hAnsi="Arial" w:cs="Arial"/>
              <w:b/>
              <w:sz w:val="12"/>
              <w:szCs w:val="12"/>
            </w:rPr>
            <w:t>INSTITUTO SOCIAL DE LA MARINA</w:t>
          </w:r>
        </w:p>
      </w:tc>
    </w:tr>
    <w:tr w:rsidR="00CC5C75" w:rsidTr="00F74B1B">
      <w:trPr>
        <w:cantSplit/>
        <w:trHeight w:val="1131"/>
      </w:trPr>
      <w:tc>
        <w:tcPr>
          <w:tcW w:w="1701" w:type="dxa"/>
          <w:vMerge/>
        </w:tcPr>
        <w:p w:rsidR="00CC5C75" w:rsidRDefault="00CC5C75" w:rsidP="001012AE">
          <w:pPr>
            <w:pStyle w:val="Encabezado"/>
            <w:spacing w:line="120" w:lineRule="atLeast"/>
            <w:rPr>
              <w:rFonts w:ascii="Arial Narrow-SM" w:hAnsi="Arial Narrow-SM"/>
              <w:position w:val="12"/>
              <w:sz w:val="230"/>
            </w:rPr>
          </w:pPr>
        </w:p>
      </w:tc>
      <w:tc>
        <w:tcPr>
          <w:tcW w:w="3969" w:type="dxa"/>
          <w:vMerge/>
          <w:tcBorders>
            <w:left w:val="nil"/>
          </w:tcBorders>
        </w:tcPr>
        <w:p w:rsidR="00CC5C75" w:rsidRDefault="00CC5C75" w:rsidP="001012AE">
          <w:pPr>
            <w:pStyle w:val="Encabezado"/>
            <w:spacing w:line="120" w:lineRule="atLeast"/>
            <w:rPr>
              <w:rFonts w:ascii="Arial Narrow-SM" w:hAnsi="Arial Narrow-SM"/>
              <w:position w:val="12"/>
              <w:sz w:val="230"/>
            </w:rPr>
          </w:pPr>
        </w:p>
      </w:tc>
      <w:tc>
        <w:tcPr>
          <w:tcW w:w="1985" w:type="dxa"/>
          <w:vMerge/>
        </w:tcPr>
        <w:p w:rsidR="00CC5C75" w:rsidRDefault="00CC5C75" w:rsidP="001012AE">
          <w:pPr>
            <w:pStyle w:val="Encabezado"/>
            <w:spacing w:line="120" w:lineRule="atLeast"/>
            <w:rPr>
              <w:rFonts w:ascii="Arial Narrow-SM" w:hAnsi="Arial Narrow-SM"/>
              <w:position w:val="12"/>
              <w:sz w:val="230"/>
            </w:rPr>
          </w:pPr>
        </w:p>
      </w:tc>
      <w:tc>
        <w:tcPr>
          <w:tcW w:w="567" w:type="dxa"/>
          <w:vMerge/>
        </w:tcPr>
        <w:p w:rsidR="00CC5C75" w:rsidRDefault="00CC5C75" w:rsidP="001012AE">
          <w:pPr>
            <w:pStyle w:val="Encabezado"/>
            <w:spacing w:line="120" w:lineRule="atLeast"/>
            <w:jc w:val="right"/>
            <w:rPr>
              <w:rFonts w:ascii="Arial" w:hAnsi="Arial"/>
              <w:sz w:val="14"/>
            </w:rPr>
          </w:pPr>
        </w:p>
      </w:tc>
      <w:tc>
        <w:tcPr>
          <w:tcW w:w="20" w:type="dxa"/>
          <w:vMerge/>
        </w:tcPr>
        <w:p w:rsidR="00CC5C75" w:rsidRDefault="00CC5C75" w:rsidP="001012AE">
          <w:pPr>
            <w:pStyle w:val="Encabezado"/>
            <w:rPr>
              <w:rFonts w:ascii="Arial" w:hAnsi="Arial"/>
              <w:sz w:val="14"/>
            </w:rPr>
          </w:pPr>
        </w:p>
      </w:tc>
      <w:tc>
        <w:tcPr>
          <w:tcW w:w="2409" w:type="dxa"/>
          <w:gridSpan w:val="2"/>
        </w:tcPr>
        <w:p w:rsidR="00CC5C75" w:rsidRPr="00A7088F" w:rsidRDefault="00CC5C75" w:rsidP="001012AE">
          <w:pPr>
            <w:pStyle w:val="Encabezado"/>
            <w:spacing w:line="160" w:lineRule="exact"/>
            <w:rPr>
              <w:rFonts w:ascii="Arial" w:hAnsi="Arial" w:cs="Arial"/>
              <w:b/>
              <w:sz w:val="12"/>
              <w:szCs w:val="12"/>
            </w:rPr>
          </w:pPr>
          <w:r w:rsidRPr="00A7088F">
            <w:rPr>
              <w:rFonts w:ascii="Arial" w:hAnsi="Arial" w:cs="Arial"/>
              <w:b/>
              <w:sz w:val="12"/>
              <w:szCs w:val="12"/>
            </w:rPr>
            <w:t xml:space="preserve">SUBDIRECCIÓN GENERAL DE </w:t>
          </w:r>
          <w:r>
            <w:rPr>
              <w:rFonts w:ascii="Arial" w:hAnsi="Arial" w:cs="Arial"/>
              <w:b/>
              <w:sz w:val="12"/>
              <w:szCs w:val="12"/>
            </w:rPr>
            <w:t xml:space="preserve">LA </w:t>
          </w:r>
          <w:r w:rsidRPr="00A7088F">
            <w:rPr>
              <w:rFonts w:ascii="Arial" w:hAnsi="Arial" w:cs="Arial"/>
              <w:b/>
              <w:sz w:val="12"/>
              <w:szCs w:val="12"/>
            </w:rPr>
            <w:t>SEGURIDAD SOCIAL</w:t>
          </w:r>
        </w:p>
        <w:p w:rsidR="00CC5C75" w:rsidRDefault="00CC5C75" w:rsidP="001012AE">
          <w:pPr>
            <w:pStyle w:val="Encabezado"/>
            <w:spacing w:line="160" w:lineRule="exact"/>
            <w:rPr>
              <w:rFonts w:ascii="Arial" w:hAnsi="Arial"/>
              <w:noProof/>
              <w:sz w:val="14"/>
            </w:rPr>
          </w:pPr>
        </w:p>
      </w:tc>
    </w:tr>
  </w:tbl>
  <w:p w:rsidR="00CC5C75" w:rsidRDefault="00CC5C7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C48"/>
    <w:multiLevelType w:val="hybridMultilevel"/>
    <w:tmpl w:val="F1E0C9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CB30EC"/>
    <w:multiLevelType w:val="multilevel"/>
    <w:tmpl w:val="63FC308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C280A81"/>
    <w:multiLevelType w:val="hybridMultilevel"/>
    <w:tmpl w:val="3BF223A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nsid w:val="1EE56111"/>
    <w:multiLevelType w:val="hybridMultilevel"/>
    <w:tmpl w:val="23A261CE"/>
    <w:lvl w:ilvl="0" w:tplc="0C0A0001">
      <w:start w:val="1"/>
      <w:numFmt w:val="bullet"/>
      <w:lvlText w:val=""/>
      <w:lvlJc w:val="left"/>
      <w:pPr>
        <w:ind w:left="2208" w:hanging="360"/>
      </w:pPr>
      <w:rPr>
        <w:rFonts w:ascii="Symbol" w:hAnsi="Symbol" w:hint="default"/>
      </w:rPr>
    </w:lvl>
    <w:lvl w:ilvl="1" w:tplc="0C0A0003" w:tentative="1">
      <w:start w:val="1"/>
      <w:numFmt w:val="bullet"/>
      <w:lvlText w:val="o"/>
      <w:lvlJc w:val="left"/>
      <w:pPr>
        <w:ind w:left="2928" w:hanging="360"/>
      </w:pPr>
      <w:rPr>
        <w:rFonts w:ascii="Courier New" w:hAnsi="Courier New" w:cs="Courier New" w:hint="default"/>
      </w:rPr>
    </w:lvl>
    <w:lvl w:ilvl="2" w:tplc="0C0A0005" w:tentative="1">
      <w:start w:val="1"/>
      <w:numFmt w:val="bullet"/>
      <w:lvlText w:val=""/>
      <w:lvlJc w:val="left"/>
      <w:pPr>
        <w:ind w:left="3648" w:hanging="360"/>
      </w:pPr>
      <w:rPr>
        <w:rFonts w:ascii="Wingdings" w:hAnsi="Wingdings" w:hint="default"/>
      </w:rPr>
    </w:lvl>
    <w:lvl w:ilvl="3" w:tplc="0C0A0001" w:tentative="1">
      <w:start w:val="1"/>
      <w:numFmt w:val="bullet"/>
      <w:lvlText w:val=""/>
      <w:lvlJc w:val="left"/>
      <w:pPr>
        <w:ind w:left="4368" w:hanging="360"/>
      </w:pPr>
      <w:rPr>
        <w:rFonts w:ascii="Symbol" w:hAnsi="Symbol" w:hint="default"/>
      </w:rPr>
    </w:lvl>
    <w:lvl w:ilvl="4" w:tplc="0C0A0003" w:tentative="1">
      <w:start w:val="1"/>
      <w:numFmt w:val="bullet"/>
      <w:lvlText w:val="o"/>
      <w:lvlJc w:val="left"/>
      <w:pPr>
        <w:ind w:left="5088" w:hanging="360"/>
      </w:pPr>
      <w:rPr>
        <w:rFonts w:ascii="Courier New" w:hAnsi="Courier New" w:cs="Courier New" w:hint="default"/>
      </w:rPr>
    </w:lvl>
    <w:lvl w:ilvl="5" w:tplc="0C0A0005" w:tentative="1">
      <w:start w:val="1"/>
      <w:numFmt w:val="bullet"/>
      <w:lvlText w:val=""/>
      <w:lvlJc w:val="left"/>
      <w:pPr>
        <w:ind w:left="5808" w:hanging="360"/>
      </w:pPr>
      <w:rPr>
        <w:rFonts w:ascii="Wingdings" w:hAnsi="Wingdings" w:hint="default"/>
      </w:rPr>
    </w:lvl>
    <w:lvl w:ilvl="6" w:tplc="0C0A0001" w:tentative="1">
      <w:start w:val="1"/>
      <w:numFmt w:val="bullet"/>
      <w:lvlText w:val=""/>
      <w:lvlJc w:val="left"/>
      <w:pPr>
        <w:ind w:left="6528" w:hanging="360"/>
      </w:pPr>
      <w:rPr>
        <w:rFonts w:ascii="Symbol" w:hAnsi="Symbol" w:hint="default"/>
      </w:rPr>
    </w:lvl>
    <w:lvl w:ilvl="7" w:tplc="0C0A0003" w:tentative="1">
      <w:start w:val="1"/>
      <w:numFmt w:val="bullet"/>
      <w:lvlText w:val="o"/>
      <w:lvlJc w:val="left"/>
      <w:pPr>
        <w:ind w:left="7248" w:hanging="360"/>
      </w:pPr>
      <w:rPr>
        <w:rFonts w:ascii="Courier New" w:hAnsi="Courier New" w:cs="Courier New" w:hint="default"/>
      </w:rPr>
    </w:lvl>
    <w:lvl w:ilvl="8" w:tplc="0C0A0005" w:tentative="1">
      <w:start w:val="1"/>
      <w:numFmt w:val="bullet"/>
      <w:lvlText w:val=""/>
      <w:lvlJc w:val="left"/>
      <w:pPr>
        <w:ind w:left="7968" w:hanging="360"/>
      </w:pPr>
      <w:rPr>
        <w:rFonts w:ascii="Wingdings" w:hAnsi="Wingdings" w:hint="default"/>
      </w:rPr>
    </w:lvl>
  </w:abstractNum>
  <w:abstractNum w:abstractNumId="4">
    <w:nsid w:val="2E524CC7"/>
    <w:multiLevelType w:val="hybridMultilevel"/>
    <w:tmpl w:val="7F5EBF5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45353EB3"/>
    <w:multiLevelType w:val="hybridMultilevel"/>
    <w:tmpl w:val="4EF6CA9A"/>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nsid w:val="5437070B"/>
    <w:multiLevelType w:val="hybridMultilevel"/>
    <w:tmpl w:val="F6BE923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nsid w:val="6175083B"/>
    <w:multiLevelType w:val="hybridMultilevel"/>
    <w:tmpl w:val="C3DEC26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6B101063"/>
    <w:multiLevelType w:val="hybridMultilevel"/>
    <w:tmpl w:val="ACB8854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nsid w:val="6CA24697"/>
    <w:multiLevelType w:val="hybridMultilevel"/>
    <w:tmpl w:val="A824EF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78A4DDA"/>
    <w:multiLevelType w:val="hybridMultilevel"/>
    <w:tmpl w:val="C7BCEA5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10"/>
  </w:num>
  <w:num w:numId="6">
    <w:abstractNumId w:val="1"/>
  </w:num>
  <w:num w:numId="7">
    <w:abstractNumId w:val="8"/>
  </w:num>
  <w:num w:numId="8">
    <w:abstractNumId w:val="4"/>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46"/>
    <w:rsid w:val="000111FC"/>
    <w:rsid w:val="000324B9"/>
    <w:rsid w:val="000352A7"/>
    <w:rsid w:val="00040145"/>
    <w:rsid w:val="00084559"/>
    <w:rsid w:val="000B4F37"/>
    <w:rsid w:val="000B52DF"/>
    <w:rsid w:val="000D3CEA"/>
    <w:rsid w:val="000D45D3"/>
    <w:rsid w:val="000E11E9"/>
    <w:rsid w:val="000E1777"/>
    <w:rsid w:val="000F7D47"/>
    <w:rsid w:val="001012AE"/>
    <w:rsid w:val="0012152C"/>
    <w:rsid w:val="0012238C"/>
    <w:rsid w:val="00126366"/>
    <w:rsid w:val="00126552"/>
    <w:rsid w:val="00126853"/>
    <w:rsid w:val="00133810"/>
    <w:rsid w:val="001607EB"/>
    <w:rsid w:val="001774E8"/>
    <w:rsid w:val="001A3A3D"/>
    <w:rsid w:val="001B75F6"/>
    <w:rsid w:val="001D5277"/>
    <w:rsid w:val="001E0A7E"/>
    <w:rsid w:val="001E1302"/>
    <w:rsid w:val="001F35A9"/>
    <w:rsid w:val="001F671F"/>
    <w:rsid w:val="00201ED3"/>
    <w:rsid w:val="00231522"/>
    <w:rsid w:val="00232034"/>
    <w:rsid w:val="002369ED"/>
    <w:rsid w:val="0025399E"/>
    <w:rsid w:val="0028107F"/>
    <w:rsid w:val="002A1148"/>
    <w:rsid w:val="002B30D0"/>
    <w:rsid w:val="002D0F6B"/>
    <w:rsid w:val="002D3DE3"/>
    <w:rsid w:val="002E79F2"/>
    <w:rsid w:val="00303447"/>
    <w:rsid w:val="00303F7F"/>
    <w:rsid w:val="003240DA"/>
    <w:rsid w:val="003474E8"/>
    <w:rsid w:val="0035357A"/>
    <w:rsid w:val="00355674"/>
    <w:rsid w:val="00367B7F"/>
    <w:rsid w:val="00397F90"/>
    <w:rsid w:val="003B2DF9"/>
    <w:rsid w:val="003F6553"/>
    <w:rsid w:val="00405F69"/>
    <w:rsid w:val="00432324"/>
    <w:rsid w:val="00432A49"/>
    <w:rsid w:val="004337FD"/>
    <w:rsid w:val="00451DF9"/>
    <w:rsid w:val="00457032"/>
    <w:rsid w:val="0046517D"/>
    <w:rsid w:val="00490011"/>
    <w:rsid w:val="004C061A"/>
    <w:rsid w:val="004C2A1E"/>
    <w:rsid w:val="004E597A"/>
    <w:rsid w:val="00505A82"/>
    <w:rsid w:val="00506BD1"/>
    <w:rsid w:val="00522AF6"/>
    <w:rsid w:val="005234F6"/>
    <w:rsid w:val="005426B3"/>
    <w:rsid w:val="00547BE8"/>
    <w:rsid w:val="005563D4"/>
    <w:rsid w:val="00573065"/>
    <w:rsid w:val="005A6362"/>
    <w:rsid w:val="005B3924"/>
    <w:rsid w:val="005B7B46"/>
    <w:rsid w:val="005C057C"/>
    <w:rsid w:val="005C1C4F"/>
    <w:rsid w:val="005C3AEF"/>
    <w:rsid w:val="005C67CA"/>
    <w:rsid w:val="005E111E"/>
    <w:rsid w:val="00651A76"/>
    <w:rsid w:val="00654D22"/>
    <w:rsid w:val="0068750C"/>
    <w:rsid w:val="00695CAB"/>
    <w:rsid w:val="006B2844"/>
    <w:rsid w:val="006E666C"/>
    <w:rsid w:val="006F26C0"/>
    <w:rsid w:val="00710FE5"/>
    <w:rsid w:val="00723A07"/>
    <w:rsid w:val="00747AD2"/>
    <w:rsid w:val="0076554E"/>
    <w:rsid w:val="0079512F"/>
    <w:rsid w:val="007A68BA"/>
    <w:rsid w:val="007D35C6"/>
    <w:rsid w:val="007D3BD2"/>
    <w:rsid w:val="007E37D9"/>
    <w:rsid w:val="008027D2"/>
    <w:rsid w:val="00833C99"/>
    <w:rsid w:val="0085392C"/>
    <w:rsid w:val="008756D5"/>
    <w:rsid w:val="00882F46"/>
    <w:rsid w:val="0088432F"/>
    <w:rsid w:val="00892FD8"/>
    <w:rsid w:val="00893B6F"/>
    <w:rsid w:val="008A139F"/>
    <w:rsid w:val="008B2C13"/>
    <w:rsid w:val="008B67DF"/>
    <w:rsid w:val="008C4F31"/>
    <w:rsid w:val="008D2ECB"/>
    <w:rsid w:val="009024B9"/>
    <w:rsid w:val="00923330"/>
    <w:rsid w:val="00927558"/>
    <w:rsid w:val="00952271"/>
    <w:rsid w:val="009603BB"/>
    <w:rsid w:val="00981F82"/>
    <w:rsid w:val="00983CE0"/>
    <w:rsid w:val="00992172"/>
    <w:rsid w:val="009A1E87"/>
    <w:rsid w:val="009E29DC"/>
    <w:rsid w:val="009F37C5"/>
    <w:rsid w:val="009F4C4C"/>
    <w:rsid w:val="00A04855"/>
    <w:rsid w:val="00A1609A"/>
    <w:rsid w:val="00A20928"/>
    <w:rsid w:val="00A22C35"/>
    <w:rsid w:val="00A5023E"/>
    <w:rsid w:val="00A558FB"/>
    <w:rsid w:val="00A66373"/>
    <w:rsid w:val="00A6687E"/>
    <w:rsid w:val="00A81BD4"/>
    <w:rsid w:val="00A950BD"/>
    <w:rsid w:val="00A97D8E"/>
    <w:rsid w:val="00AD0320"/>
    <w:rsid w:val="00AE6D7A"/>
    <w:rsid w:val="00AF33FD"/>
    <w:rsid w:val="00B0275B"/>
    <w:rsid w:val="00B3264A"/>
    <w:rsid w:val="00B529DF"/>
    <w:rsid w:val="00B55D5B"/>
    <w:rsid w:val="00B56B1C"/>
    <w:rsid w:val="00B633DD"/>
    <w:rsid w:val="00B90BCC"/>
    <w:rsid w:val="00B91A68"/>
    <w:rsid w:val="00B92EF0"/>
    <w:rsid w:val="00B9391F"/>
    <w:rsid w:val="00BA0436"/>
    <w:rsid w:val="00BA64F4"/>
    <w:rsid w:val="00BB2E64"/>
    <w:rsid w:val="00BC5F6B"/>
    <w:rsid w:val="00BF3284"/>
    <w:rsid w:val="00BF77A1"/>
    <w:rsid w:val="00C1092A"/>
    <w:rsid w:val="00C123A6"/>
    <w:rsid w:val="00C13967"/>
    <w:rsid w:val="00C31739"/>
    <w:rsid w:val="00C40F1B"/>
    <w:rsid w:val="00C51A94"/>
    <w:rsid w:val="00C527A9"/>
    <w:rsid w:val="00C734C2"/>
    <w:rsid w:val="00CC448F"/>
    <w:rsid w:val="00CC5C75"/>
    <w:rsid w:val="00CD1307"/>
    <w:rsid w:val="00CE09D9"/>
    <w:rsid w:val="00CE1FB4"/>
    <w:rsid w:val="00D16753"/>
    <w:rsid w:val="00D477CD"/>
    <w:rsid w:val="00D51216"/>
    <w:rsid w:val="00D67157"/>
    <w:rsid w:val="00D84E26"/>
    <w:rsid w:val="00DA3A9B"/>
    <w:rsid w:val="00DD5D9E"/>
    <w:rsid w:val="00DF1163"/>
    <w:rsid w:val="00DF6FD3"/>
    <w:rsid w:val="00E30CE5"/>
    <w:rsid w:val="00E41F2C"/>
    <w:rsid w:val="00E8241B"/>
    <w:rsid w:val="00E843A3"/>
    <w:rsid w:val="00E877CF"/>
    <w:rsid w:val="00EA26D1"/>
    <w:rsid w:val="00EB3F41"/>
    <w:rsid w:val="00EE050E"/>
    <w:rsid w:val="00F05BF9"/>
    <w:rsid w:val="00F1251F"/>
    <w:rsid w:val="00F14797"/>
    <w:rsid w:val="00F33B96"/>
    <w:rsid w:val="00F443EC"/>
    <w:rsid w:val="00F47E63"/>
    <w:rsid w:val="00F522CE"/>
    <w:rsid w:val="00F55A2B"/>
    <w:rsid w:val="00F6285A"/>
    <w:rsid w:val="00F629FF"/>
    <w:rsid w:val="00F74B1B"/>
    <w:rsid w:val="00F80E4F"/>
    <w:rsid w:val="00F91E65"/>
    <w:rsid w:val="00FE16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customStyle="1" w:styleId="EncabezadoCar">
    <w:name w:val="Encabezado Car"/>
    <w:link w:val="Encabezado"/>
    <w:uiPriority w:val="99"/>
    <w:rsid w:val="00F14797"/>
  </w:style>
  <w:style w:type="paragraph" w:styleId="Textodeglobo">
    <w:name w:val="Balloon Text"/>
    <w:basedOn w:val="Normal"/>
    <w:link w:val="TextodegloboCar"/>
    <w:rsid w:val="00F14797"/>
    <w:rPr>
      <w:rFonts w:ascii="Tahoma" w:hAnsi="Tahoma" w:cs="Tahoma"/>
      <w:sz w:val="16"/>
      <w:szCs w:val="16"/>
    </w:rPr>
  </w:style>
  <w:style w:type="character" w:customStyle="1" w:styleId="TextodegloboCar">
    <w:name w:val="Texto de globo Car"/>
    <w:basedOn w:val="Fuentedeprrafopredeter"/>
    <w:link w:val="Textodeglobo"/>
    <w:rsid w:val="00F14797"/>
    <w:rPr>
      <w:rFonts w:ascii="Tahoma" w:hAnsi="Tahoma" w:cs="Tahoma"/>
      <w:sz w:val="16"/>
      <w:szCs w:val="16"/>
    </w:rPr>
  </w:style>
  <w:style w:type="character" w:customStyle="1" w:styleId="PiedepginaCar">
    <w:name w:val="Pie de página Car"/>
    <w:link w:val="Piedepgina"/>
    <w:uiPriority w:val="99"/>
    <w:rsid w:val="00F14797"/>
  </w:style>
  <w:style w:type="character" w:styleId="Hipervnculo">
    <w:name w:val="Hyperlink"/>
    <w:basedOn w:val="Fuentedeprrafopredeter"/>
    <w:rsid w:val="00F80E4F"/>
    <w:rPr>
      <w:color w:val="0000FF" w:themeColor="hyperlink"/>
      <w:u w:val="single"/>
    </w:rPr>
  </w:style>
  <w:style w:type="paragraph" w:styleId="NormalWeb">
    <w:name w:val="Normal (Web)"/>
    <w:basedOn w:val="Normal"/>
    <w:uiPriority w:val="99"/>
    <w:unhideWhenUsed/>
    <w:rsid w:val="00BC5F6B"/>
    <w:rPr>
      <w:rFonts w:ascii="inherit" w:hAnsi="inherit"/>
      <w:sz w:val="24"/>
      <w:szCs w:val="24"/>
    </w:rPr>
  </w:style>
  <w:style w:type="paragraph" w:customStyle="1" w:styleId="Pa6">
    <w:name w:val="Pa6"/>
    <w:basedOn w:val="Normal"/>
    <w:next w:val="Normal"/>
    <w:uiPriority w:val="99"/>
    <w:rsid w:val="00983CE0"/>
    <w:pPr>
      <w:autoSpaceDE w:val="0"/>
      <w:autoSpaceDN w:val="0"/>
      <w:adjustRightInd w:val="0"/>
      <w:spacing w:line="201" w:lineRule="atLeast"/>
    </w:pPr>
    <w:rPr>
      <w:rFonts w:ascii="Arial" w:hAnsi="Arial" w:cs="Arial"/>
      <w:sz w:val="24"/>
      <w:szCs w:val="24"/>
    </w:rPr>
  </w:style>
  <w:style w:type="paragraph" w:customStyle="1" w:styleId="Pa11">
    <w:name w:val="Pa11"/>
    <w:basedOn w:val="Normal"/>
    <w:next w:val="Normal"/>
    <w:uiPriority w:val="99"/>
    <w:rsid w:val="00983CE0"/>
    <w:pPr>
      <w:autoSpaceDE w:val="0"/>
      <w:autoSpaceDN w:val="0"/>
      <w:adjustRightInd w:val="0"/>
      <w:spacing w:line="201" w:lineRule="atLeast"/>
    </w:pPr>
    <w:rPr>
      <w:rFonts w:ascii="Arial" w:hAnsi="Arial" w:cs="Arial"/>
      <w:sz w:val="24"/>
      <w:szCs w:val="24"/>
    </w:rPr>
  </w:style>
  <w:style w:type="table" w:styleId="Sombreadomedio2-nfasis1">
    <w:name w:val="Medium Shading 2 Accent 1"/>
    <w:basedOn w:val="Tablanormal"/>
    <w:uiPriority w:val="64"/>
    <w:rsid w:val="00A950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5C3AEF"/>
    <w:pPr>
      <w:autoSpaceDE w:val="0"/>
      <w:autoSpaceDN w:val="0"/>
      <w:adjustRightInd w:val="0"/>
    </w:pPr>
    <w:rPr>
      <w:rFonts w:ascii="Arial" w:hAnsi="Arial" w:cs="Arial"/>
      <w:color w:val="000000"/>
      <w:sz w:val="24"/>
      <w:szCs w:val="24"/>
    </w:rPr>
  </w:style>
  <w:style w:type="paragraph" w:customStyle="1" w:styleId="Pa8">
    <w:name w:val="Pa8"/>
    <w:basedOn w:val="Default"/>
    <w:next w:val="Default"/>
    <w:uiPriority w:val="99"/>
    <w:rsid w:val="005C3AEF"/>
    <w:pPr>
      <w:spacing w:line="201" w:lineRule="atLeast"/>
    </w:pPr>
    <w:rPr>
      <w:color w:val="auto"/>
    </w:rPr>
  </w:style>
  <w:style w:type="paragraph" w:customStyle="1" w:styleId="PARRAFO">
    <w:name w:val="PARRAFO"/>
    <w:basedOn w:val="Normal"/>
    <w:rsid w:val="00F91E65"/>
    <w:pPr>
      <w:autoSpaceDE w:val="0"/>
      <w:autoSpaceDN w:val="0"/>
      <w:adjustRightInd w:val="0"/>
      <w:spacing w:line="368" w:lineRule="exact"/>
      <w:ind w:left="851" w:firstLine="709"/>
      <w:jc w:val="both"/>
    </w:pPr>
    <w:rPr>
      <w:rFonts w:ascii="Arial" w:hAnsi="Arial" w:cs="Arial"/>
      <w:sz w:val="24"/>
      <w:szCs w:val="24"/>
    </w:rPr>
  </w:style>
  <w:style w:type="character" w:customStyle="1" w:styleId="txt1">
    <w:name w:val="txt1"/>
    <w:basedOn w:val="Fuentedeprrafopredeter"/>
    <w:rsid w:val="00F91E65"/>
    <w:rPr>
      <w:rFonts w:ascii="Arial" w:hAnsi="Arial" w:cs="Arial" w:hint="default"/>
      <w:b w:val="0"/>
      <w:bCs w:val="0"/>
      <w:color w:val="000000"/>
    </w:rPr>
  </w:style>
  <w:style w:type="character" w:customStyle="1" w:styleId="txtbold1">
    <w:name w:val="txtbold1"/>
    <w:basedOn w:val="Fuentedeprrafopredeter"/>
    <w:rsid w:val="00F91E65"/>
    <w:rPr>
      <w:rFonts w:ascii="Arial" w:hAnsi="Arial" w:cs="Arial" w:hint="default"/>
      <w:b/>
      <w:bCs/>
      <w:color w:val="000000"/>
    </w:rPr>
  </w:style>
  <w:style w:type="paragraph" w:styleId="Prrafodelista">
    <w:name w:val="List Paragraph"/>
    <w:basedOn w:val="Normal"/>
    <w:uiPriority w:val="34"/>
    <w:qFormat/>
    <w:rsid w:val="002810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customStyle="1" w:styleId="EncabezadoCar">
    <w:name w:val="Encabezado Car"/>
    <w:link w:val="Encabezado"/>
    <w:uiPriority w:val="99"/>
    <w:rsid w:val="00F14797"/>
  </w:style>
  <w:style w:type="paragraph" w:styleId="Textodeglobo">
    <w:name w:val="Balloon Text"/>
    <w:basedOn w:val="Normal"/>
    <w:link w:val="TextodegloboCar"/>
    <w:rsid w:val="00F14797"/>
    <w:rPr>
      <w:rFonts w:ascii="Tahoma" w:hAnsi="Tahoma" w:cs="Tahoma"/>
      <w:sz w:val="16"/>
      <w:szCs w:val="16"/>
    </w:rPr>
  </w:style>
  <w:style w:type="character" w:customStyle="1" w:styleId="TextodegloboCar">
    <w:name w:val="Texto de globo Car"/>
    <w:basedOn w:val="Fuentedeprrafopredeter"/>
    <w:link w:val="Textodeglobo"/>
    <w:rsid w:val="00F14797"/>
    <w:rPr>
      <w:rFonts w:ascii="Tahoma" w:hAnsi="Tahoma" w:cs="Tahoma"/>
      <w:sz w:val="16"/>
      <w:szCs w:val="16"/>
    </w:rPr>
  </w:style>
  <w:style w:type="character" w:customStyle="1" w:styleId="PiedepginaCar">
    <w:name w:val="Pie de página Car"/>
    <w:link w:val="Piedepgina"/>
    <w:uiPriority w:val="99"/>
    <w:rsid w:val="00F14797"/>
  </w:style>
  <w:style w:type="character" w:styleId="Hipervnculo">
    <w:name w:val="Hyperlink"/>
    <w:basedOn w:val="Fuentedeprrafopredeter"/>
    <w:rsid w:val="00F80E4F"/>
    <w:rPr>
      <w:color w:val="0000FF" w:themeColor="hyperlink"/>
      <w:u w:val="single"/>
    </w:rPr>
  </w:style>
  <w:style w:type="paragraph" w:styleId="NormalWeb">
    <w:name w:val="Normal (Web)"/>
    <w:basedOn w:val="Normal"/>
    <w:uiPriority w:val="99"/>
    <w:unhideWhenUsed/>
    <w:rsid w:val="00BC5F6B"/>
    <w:rPr>
      <w:rFonts w:ascii="inherit" w:hAnsi="inherit"/>
      <w:sz w:val="24"/>
      <w:szCs w:val="24"/>
    </w:rPr>
  </w:style>
  <w:style w:type="paragraph" w:customStyle="1" w:styleId="Pa6">
    <w:name w:val="Pa6"/>
    <w:basedOn w:val="Normal"/>
    <w:next w:val="Normal"/>
    <w:uiPriority w:val="99"/>
    <w:rsid w:val="00983CE0"/>
    <w:pPr>
      <w:autoSpaceDE w:val="0"/>
      <w:autoSpaceDN w:val="0"/>
      <w:adjustRightInd w:val="0"/>
      <w:spacing w:line="201" w:lineRule="atLeast"/>
    </w:pPr>
    <w:rPr>
      <w:rFonts w:ascii="Arial" w:hAnsi="Arial" w:cs="Arial"/>
      <w:sz w:val="24"/>
      <w:szCs w:val="24"/>
    </w:rPr>
  </w:style>
  <w:style w:type="paragraph" w:customStyle="1" w:styleId="Pa11">
    <w:name w:val="Pa11"/>
    <w:basedOn w:val="Normal"/>
    <w:next w:val="Normal"/>
    <w:uiPriority w:val="99"/>
    <w:rsid w:val="00983CE0"/>
    <w:pPr>
      <w:autoSpaceDE w:val="0"/>
      <w:autoSpaceDN w:val="0"/>
      <w:adjustRightInd w:val="0"/>
      <w:spacing w:line="201" w:lineRule="atLeast"/>
    </w:pPr>
    <w:rPr>
      <w:rFonts w:ascii="Arial" w:hAnsi="Arial" w:cs="Arial"/>
      <w:sz w:val="24"/>
      <w:szCs w:val="24"/>
    </w:rPr>
  </w:style>
  <w:style w:type="table" w:styleId="Sombreadomedio2-nfasis1">
    <w:name w:val="Medium Shading 2 Accent 1"/>
    <w:basedOn w:val="Tablanormal"/>
    <w:uiPriority w:val="64"/>
    <w:rsid w:val="00A950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5C3AEF"/>
    <w:pPr>
      <w:autoSpaceDE w:val="0"/>
      <w:autoSpaceDN w:val="0"/>
      <w:adjustRightInd w:val="0"/>
    </w:pPr>
    <w:rPr>
      <w:rFonts w:ascii="Arial" w:hAnsi="Arial" w:cs="Arial"/>
      <w:color w:val="000000"/>
      <w:sz w:val="24"/>
      <w:szCs w:val="24"/>
    </w:rPr>
  </w:style>
  <w:style w:type="paragraph" w:customStyle="1" w:styleId="Pa8">
    <w:name w:val="Pa8"/>
    <w:basedOn w:val="Default"/>
    <w:next w:val="Default"/>
    <w:uiPriority w:val="99"/>
    <w:rsid w:val="005C3AEF"/>
    <w:pPr>
      <w:spacing w:line="201" w:lineRule="atLeast"/>
    </w:pPr>
    <w:rPr>
      <w:color w:val="auto"/>
    </w:rPr>
  </w:style>
  <w:style w:type="paragraph" w:customStyle="1" w:styleId="PARRAFO">
    <w:name w:val="PARRAFO"/>
    <w:basedOn w:val="Normal"/>
    <w:rsid w:val="00F91E65"/>
    <w:pPr>
      <w:autoSpaceDE w:val="0"/>
      <w:autoSpaceDN w:val="0"/>
      <w:adjustRightInd w:val="0"/>
      <w:spacing w:line="368" w:lineRule="exact"/>
      <w:ind w:left="851" w:firstLine="709"/>
      <w:jc w:val="both"/>
    </w:pPr>
    <w:rPr>
      <w:rFonts w:ascii="Arial" w:hAnsi="Arial" w:cs="Arial"/>
      <w:sz w:val="24"/>
      <w:szCs w:val="24"/>
    </w:rPr>
  </w:style>
  <w:style w:type="character" w:customStyle="1" w:styleId="txt1">
    <w:name w:val="txt1"/>
    <w:basedOn w:val="Fuentedeprrafopredeter"/>
    <w:rsid w:val="00F91E65"/>
    <w:rPr>
      <w:rFonts w:ascii="Arial" w:hAnsi="Arial" w:cs="Arial" w:hint="default"/>
      <w:b w:val="0"/>
      <w:bCs w:val="0"/>
      <w:color w:val="000000"/>
    </w:rPr>
  </w:style>
  <w:style w:type="character" w:customStyle="1" w:styleId="txtbold1">
    <w:name w:val="txtbold1"/>
    <w:basedOn w:val="Fuentedeprrafopredeter"/>
    <w:rsid w:val="00F91E65"/>
    <w:rPr>
      <w:rFonts w:ascii="Arial" w:hAnsi="Arial" w:cs="Arial" w:hint="default"/>
      <w:b/>
      <w:bCs/>
      <w:color w:val="000000"/>
    </w:rPr>
  </w:style>
  <w:style w:type="paragraph" w:styleId="Prrafodelista">
    <w:name w:val="List Paragraph"/>
    <w:basedOn w:val="Normal"/>
    <w:uiPriority w:val="34"/>
    <w:qFormat/>
    <w:rsid w:val="00281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596872">
      <w:bodyDiv w:val="1"/>
      <w:marLeft w:val="0"/>
      <w:marRight w:val="0"/>
      <w:marTop w:val="0"/>
      <w:marBottom w:val="0"/>
      <w:divBdr>
        <w:top w:val="none" w:sz="0" w:space="0" w:color="auto"/>
        <w:left w:val="none" w:sz="0" w:space="0" w:color="auto"/>
        <w:bottom w:val="none" w:sz="0" w:space="0" w:color="auto"/>
        <w:right w:val="none" w:sz="0" w:space="0" w:color="auto"/>
      </w:divBdr>
      <w:divsChild>
        <w:div w:id="1235747998">
          <w:marLeft w:val="0"/>
          <w:marRight w:val="0"/>
          <w:marTop w:val="0"/>
          <w:marBottom w:val="0"/>
          <w:divBdr>
            <w:top w:val="none" w:sz="0" w:space="0" w:color="auto"/>
            <w:left w:val="none" w:sz="0" w:space="0" w:color="auto"/>
            <w:bottom w:val="none" w:sz="0" w:space="0" w:color="auto"/>
            <w:right w:val="none" w:sz="0" w:space="0" w:color="auto"/>
          </w:divBdr>
          <w:divsChild>
            <w:div w:id="166749947">
              <w:marLeft w:val="0"/>
              <w:marRight w:val="0"/>
              <w:marTop w:val="0"/>
              <w:marBottom w:val="0"/>
              <w:divBdr>
                <w:top w:val="none" w:sz="0" w:space="0" w:color="auto"/>
                <w:left w:val="none" w:sz="0" w:space="0" w:color="auto"/>
                <w:bottom w:val="none" w:sz="0" w:space="0" w:color="auto"/>
                <w:right w:val="none" w:sz="0" w:space="0" w:color="auto"/>
              </w:divBdr>
              <w:divsChild>
                <w:div w:id="1571115858">
                  <w:marLeft w:val="0"/>
                  <w:marRight w:val="0"/>
                  <w:marTop w:val="0"/>
                  <w:marBottom w:val="0"/>
                  <w:divBdr>
                    <w:top w:val="none" w:sz="0" w:space="0" w:color="auto"/>
                    <w:left w:val="none" w:sz="0" w:space="0" w:color="auto"/>
                    <w:bottom w:val="none" w:sz="0" w:space="0" w:color="auto"/>
                    <w:right w:val="none" w:sz="0" w:space="0" w:color="auto"/>
                  </w:divBdr>
                  <w:divsChild>
                    <w:div w:id="1058944103">
                      <w:marLeft w:val="0"/>
                      <w:marRight w:val="0"/>
                      <w:marTop w:val="0"/>
                      <w:marBottom w:val="0"/>
                      <w:divBdr>
                        <w:top w:val="none" w:sz="0" w:space="0" w:color="auto"/>
                        <w:left w:val="none" w:sz="0" w:space="0" w:color="auto"/>
                        <w:bottom w:val="none" w:sz="0" w:space="0" w:color="auto"/>
                        <w:right w:val="none" w:sz="0" w:space="0" w:color="auto"/>
                      </w:divBdr>
                      <w:divsChild>
                        <w:div w:id="1138692819">
                          <w:marLeft w:val="0"/>
                          <w:marRight w:val="0"/>
                          <w:marTop w:val="0"/>
                          <w:marBottom w:val="0"/>
                          <w:divBdr>
                            <w:top w:val="none" w:sz="0" w:space="0" w:color="auto"/>
                            <w:left w:val="none" w:sz="0" w:space="0" w:color="auto"/>
                            <w:bottom w:val="none" w:sz="0" w:space="0" w:color="auto"/>
                            <w:right w:val="none" w:sz="0" w:space="0" w:color="auto"/>
                          </w:divBdr>
                          <w:divsChild>
                            <w:div w:id="1244756468">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Child>
        </w:div>
      </w:divsChild>
    </w:div>
    <w:div w:id="896091991">
      <w:bodyDiv w:val="1"/>
      <w:marLeft w:val="0"/>
      <w:marRight w:val="0"/>
      <w:marTop w:val="0"/>
      <w:marBottom w:val="0"/>
      <w:divBdr>
        <w:top w:val="none" w:sz="0" w:space="0" w:color="auto"/>
        <w:left w:val="none" w:sz="0" w:space="0" w:color="auto"/>
        <w:bottom w:val="none" w:sz="0" w:space="0" w:color="auto"/>
        <w:right w:val="none" w:sz="0" w:space="0" w:color="auto"/>
      </w:divBdr>
    </w:div>
    <w:div w:id="1035428668">
      <w:bodyDiv w:val="1"/>
      <w:marLeft w:val="0"/>
      <w:marRight w:val="0"/>
      <w:marTop w:val="0"/>
      <w:marBottom w:val="0"/>
      <w:divBdr>
        <w:top w:val="none" w:sz="0" w:space="0" w:color="auto"/>
        <w:left w:val="none" w:sz="0" w:space="0" w:color="auto"/>
        <w:bottom w:val="none" w:sz="0" w:space="0" w:color="auto"/>
        <w:right w:val="none" w:sz="0" w:space="0" w:color="auto"/>
      </w:divBdr>
    </w:div>
    <w:div w:id="1168205872">
      <w:bodyDiv w:val="1"/>
      <w:marLeft w:val="0"/>
      <w:marRight w:val="0"/>
      <w:marTop w:val="0"/>
      <w:marBottom w:val="0"/>
      <w:divBdr>
        <w:top w:val="none" w:sz="0" w:space="0" w:color="auto"/>
        <w:left w:val="none" w:sz="0" w:space="0" w:color="auto"/>
        <w:bottom w:val="none" w:sz="0" w:space="0" w:color="auto"/>
        <w:right w:val="none" w:sz="0" w:space="0" w:color="auto"/>
      </w:divBdr>
    </w:div>
    <w:div w:id="1602686129">
      <w:bodyDiv w:val="1"/>
      <w:marLeft w:val="0"/>
      <w:marRight w:val="0"/>
      <w:marTop w:val="0"/>
      <w:marBottom w:val="0"/>
      <w:divBdr>
        <w:top w:val="none" w:sz="0" w:space="0" w:color="auto"/>
        <w:left w:val="none" w:sz="0" w:space="0" w:color="auto"/>
        <w:bottom w:val="none" w:sz="0" w:space="0" w:color="auto"/>
        <w:right w:val="none" w:sz="0" w:space="0" w:color="auto"/>
      </w:divBdr>
    </w:div>
    <w:div w:id="1945720626">
      <w:bodyDiv w:val="1"/>
      <w:marLeft w:val="0"/>
      <w:marRight w:val="0"/>
      <w:marTop w:val="0"/>
      <w:marBottom w:val="0"/>
      <w:divBdr>
        <w:top w:val="none" w:sz="0" w:space="0" w:color="auto"/>
        <w:left w:val="none" w:sz="0" w:space="0" w:color="auto"/>
        <w:bottom w:val="none" w:sz="0" w:space="0" w:color="auto"/>
        <w:right w:val="none" w:sz="0" w:space="0" w:color="auto"/>
      </w:divBdr>
    </w:div>
    <w:div w:id="1953122477">
      <w:bodyDiv w:val="1"/>
      <w:marLeft w:val="0"/>
      <w:marRight w:val="0"/>
      <w:marTop w:val="0"/>
      <w:marBottom w:val="0"/>
      <w:divBdr>
        <w:top w:val="none" w:sz="0" w:space="0" w:color="auto"/>
        <w:left w:val="none" w:sz="0" w:space="0" w:color="auto"/>
        <w:bottom w:val="none" w:sz="0" w:space="0" w:color="auto"/>
        <w:right w:val="none" w:sz="0" w:space="0" w:color="auto"/>
      </w:divBdr>
      <w:divsChild>
        <w:div w:id="995963290">
          <w:marLeft w:val="0"/>
          <w:marRight w:val="0"/>
          <w:marTop w:val="0"/>
          <w:marBottom w:val="0"/>
          <w:divBdr>
            <w:top w:val="none" w:sz="0" w:space="0" w:color="auto"/>
            <w:left w:val="none" w:sz="0" w:space="0" w:color="auto"/>
            <w:bottom w:val="none" w:sz="0" w:space="0" w:color="auto"/>
            <w:right w:val="none" w:sz="0" w:space="0" w:color="auto"/>
          </w:divBdr>
          <w:divsChild>
            <w:div w:id="750740989">
              <w:marLeft w:val="0"/>
              <w:marRight w:val="0"/>
              <w:marTop w:val="0"/>
              <w:marBottom w:val="0"/>
              <w:divBdr>
                <w:top w:val="none" w:sz="0" w:space="0" w:color="auto"/>
                <w:left w:val="none" w:sz="0" w:space="0" w:color="auto"/>
                <w:bottom w:val="none" w:sz="0" w:space="0" w:color="auto"/>
                <w:right w:val="none" w:sz="0" w:space="0" w:color="auto"/>
              </w:divBdr>
              <w:divsChild>
                <w:div w:id="20864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3.wmf"/><Relationship Id="rId4"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432FF-4A2D-495C-9332-88AF063E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6633</Characters>
  <Application>Microsoft Office Word</Application>
  <DocSecurity>4</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M.A.P.</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GISS</dc:creator>
  <cp:lastModifiedBy>GISS</cp:lastModifiedBy>
  <cp:revision>2</cp:revision>
  <cp:lastPrinted>2020-03-12T16:59:00Z</cp:lastPrinted>
  <dcterms:created xsi:type="dcterms:W3CDTF">2020-04-08T11:49:00Z</dcterms:created>
  <dcterms:modified xsi:type="dcterms:W3CDTF">2020-04-08T11:49:00Z</dcterms:modified>
</cp:coreProperties>
</file>